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759E5" w14:textId="77777777" w:rsidR="00BA66C4" w:rsidRDefault="005C0525" w:rsidP="00BA66C4">
      <w:pPr>
        <w:pBdr>
          <w:bottom w:val="single" w:sz="12" w:space="1" w:color="auto"/>
        </w:pBdr>
        <w:jc w:val="center"/>
        <w:rPr>
          <w:rFonts w:cstheme="minorHAnsi"/>
          <w:b/>
          <w:bCs/>
          <w:sz w:val="28"/>
          <w:szCs w:val="28"/>
        </w:rPr>
      </w:pPr>
      <w:r>
        <w:rPr>
          <w:noProof/>
        </w:rPr>
        <w:drawing>
          <wp:anchor distT="0" distB="0" distL="114300" distR="114300" simplePos="0" relativeHeight="251664896" behindDoc="1" locked="0" layoutInCell="1" allowOverlap="1" wp14:anchorId="03C6DDC6" wp14:editId="3623EBF8">
            <wp:simplePos x="0" y="0"/>
            <wp:positionH relativeFrom="column">
              <wp:posOffset>3981450</wp:posOffset>
            </wp:positionH>
            <wp:positionV relativeFrom="page">
              <wp:posOffset>266700</wp:posOffset>
            </wp:positionV>
            <wp:extent cx="2127250" cy="1087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footer-swoosh-01.png"/>
                    <pic:cNvPicPr/>
                  </pic:nvPicPr>
                  <pic:blipFill rotWithShape="1">
                    <a:blip r:embed="rId8" cstate="print">
                      <a:extLst>
                        <a:ext uri="{28A0092B-C50C-407E-A947-70E740481C1C}">
                          <a14:useLocalDpi xmlns:a14="http://schemas.microsoft.com/office/drawing/2010/main" val="0"/>
                        </a:ext>
                      </a:extLst>
                    </a:blip>
                    <a:srcRect l="62765" t="41195" r="9084"/>
                    <a:stretch/>
                  </pic:blipFill>
                  <pic:spPr bwMode="auto">
                    <a:xfrm>
                      <a:off x="0" y="0"/>
                      <a:ext cx="2127250" cy="1087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669D">
        <w:rPr>
          <w:noProof/>
        </w:rPr>
        <w:drawing>
          <wp:anchor distT="0" distB="0" distL="114300" distR="114300" simplePos="0" relativeHeight="251660800" behindDoc="1" locked="0" layoutInCell="1" allowOverlap="1" wp14:anchorId="6FC10699" wp14:editId="7DADB6FE">
            <wp:simplePos x="0" y="0"/>
            <wp:positionH relativeFrom="column">
              <wp:posOffset>-914400</wp:posOffset>
            </wp:positionH>
            <wp:positionV relativeFrom="page">
              <wp:posOffset>1905</wp:posOffset>
            </wp:positionV>
            <wp:extent cx="4819650" cy="1849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footer-swoosh-01.png"/>
                    <pic:cNvPicPr/>
                  </pic:nvPicPr>
                  <pic:blipFill rotWithShape="1">
                    <a:blip r:embed="rId8" cstate="print">
                      <a:extLst>
                        <a:ext uri="{28A0092B-C50C-407E-A947-70E740481C1C}">
                          <a14:useLocalDpi xmlns:a14="http://schemas.microsoft.com/office/drawing/2010/main" val="0"/>
                        </a:ext>
                      </a:extLst>
                    </a:blip>
                    <a:srcRect r="36227"/>
                    <a:stretch/>
                  </pic:blipFill>
                  <pic:spPr bwMode="auto">
                    <a:xfrm>
                      <a:off x="0" y="0"/>
                      <a:ext cx="4819650" cy="1849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69D0" w:rsidRPr="008007F1">
        <w:rPr>
          <w:rStyle w:val="normaltextrun"/>
          <w:rFonts w:ascii="Arial" w:hAnsi="Arial" w:cs="Arial"/>
          <w:lang w:val="en-US"/>
        </w:rPr>
        <w:br/>
      </w:r>
    </w:p>
    <w:p w14:paraId="74EA3771" w14:textId="4B6F4AD5" w:rsidR="00BA66C4" w:rsidRDefault="00BA66C4" w:rsidP="00BA66C4">
      <w:pPr>
        <w:pBdr>
          <w:bottom w:val="single" w:sz="12" w:space="1" w:color="auto"/>
        </w:pBdr>
        <w:jc w:val="center"/>
        <w:rPr>
          <w:rFonts w:cstheme="minorHAnsi"/>
          <w:b/>
          <w:bCs/>
          <w:sz w:val="28"/>
          <w:szCs w:val="28"/>
        </w:rPr>
      </w:pPr>
      <w:r w:rsidRPr="00BA66C4">
        <w:rPr>
          <w:rFonts w:cstheme="minorHAnsi"/>
          <w:b/>
          <w:bCs/>
          <w:sz w:val="28"/>
          <w:szCs w:val="28"/>
        </w:rPr>
        <w:t>Update from W</w:t>
      </w:r>
      <w:r w:rsidR="00FB15EE">
        <w:rPr>
          <w:rFonts w:cstheme="minorHAnsi"/>
          <w:b/>
          <w:bCs/>
          <w:sz w:val="28"/>
          <w:szCs w:val="28"/>
        </w:rPr>
        <w:t xml:space="preserve">orcestershire Acute Hospitals NHS Trust </w:t>
      </w:r>
      <w:r w:rsidRPr="00BA66C4">
        <w:rPr>
          <w:rFonts w:cstheme="minorHAnsi"/>
          <w:b/>
          <w:bCs/>
          <w:sz w:val="28"/>
          <w:szCs w:val="28"/>
        </w:rPr>
        <w:t>regarding Changes to Cancer Pathways as a res</w:t>
      </w:r>
      <w:r w:rsidR="00FB15EE">
        <w:rPr>
          <w:rFonts w:cstheme="minorHAnsi"/>
          <w:b/>
          <w:bCs/>
          <w:sz w:val="28"/>
          <w:szCs w:val="28"/>
        </w:rPr>
        <w:t>ult of</w:t>
      </w:r>
      <w:r w:rsidRPr="00BA66C4">
        <w:rPr>
          <w:rFonts w:cstheme="minorHAnsi"/>
          <w:b/>
          <w:bCs/>
          <w:sz w:val="28"/>
          <w:szCs w:val="28"/>
        </w:rPr>
        <w:t xml:space="preserve"> Covid-19</w:t>
      </w:r>
    </w:p>
    <w:p w14:paraId="079698FC" w14:textId="1976C1B8" w:rsidR="00D82E85" w:rsidRPr="00BA66C4" w:rsidRDefault="00B40161" w:rsidP="00BA66C4">
      <w:pPr>
        <w:pBdr>
          <w:bottom w:val="single" w:sz="12" w:space="1" w:color="auto"/>
        </w:pBdr>
        <w:jc w:val="center"/>
        <w:rPr>
          <w:rFonts w:cstheme="minorHAnsi"/>
          <w:b/>
          <w:bCs/>
          <w:sz w:val="28"/>
          <w:szCs w:val="28"/>
        </w:rPr>
      </w:pPr>
      <w:r>
        <w:rPr>
          <w:rFonts w:cstheme="minorHAnsi"/>
          <w:b/>
          <w:bCs/>
          <w:sz w:val="28"/>
          <w:szCs w:val="28"/>
        </w:rPr>
        <w:t>15</w:t>
      </w:r>
      <w:r w:rsidR="00D82E85" w:rsidRPr="00D82E85">
        <w:rPr>
          <w:rFonts w:cstheme="minorHAnsi"/>
          <w:b/>
          <w:bCs/>
          <w:sz w:val="28"/>
          <w:szCs w:val="28"/>
          <w:vertAlign w:val="superscript"/>
        </w:rPr>
        <w:t>th</w:t>
      </w:r>
      <w:r w:rsidR="00D82E85">
        <w:rPr>
          <w:rFonts w:cstheme="minorHAnsi"/>
          <w:b/>
          <w:bCs/>
          <w:sz w:val="28"/>
          <w:szCs w:val="28"/>
        </w:rPr>
        <w:t xml:space="preserve"> April 2020</w:t>
      </w:r>
    </w:p>
    <w:p w14:paraId="2A14E269" w14:textId="554CA97A" w:rsidR="00B40161" w:rsidRPr="005526EE" w:rsidRDefault="00B40161" w:rsidP="00B40161">
      <w:pPr>
        <w:spacing w:after="0"/>
        <w:jc w:val="both"/>
        <w:rPr>
          <w:rFonts w:cstheme="minorHAnsi"/>
          <w:bCs/>
        </w:rPr>
      </w:pPr>
      <w:r>
        <w:rPr>
          <w:rFonts w:cstheme="minorHAnsi"/>
          <w:bCs/>
        </w:rPr>
        <w:t>C</w:t>
      </w:r>
      <w:r w:rsidRPr="005526EE">
        <w:rPr>
          <w:rFonts w:cstheme="minorHAnsi"/>
          <w:bCs/>
        </w:rPr>
        <w:t>hanges to cancer pathways as a result of the Covid-19 pandemic</w:t>
      </w:r>
      <w:r>
        <w:rPr>
          <w:rFonts w:cstheme="minorHAnsi"/>
          <w:bCs/>
        </w:rPr>
        <w:t xml:space="preserve"> are </w:t>
      </w:r>
      <w:r w:rsidRPr="005526EE">
        <w:rPr>
          <w:rFonts w:cstheme="minorHAnsi"/>
          <w:bCs/>
        </w:rPr>
        <w:t>detail</w:t>
      </w:r>
      <w:r>
        <w:rPr>
          <w:rFonts w:cstheme="minorHAnsi"/>
          <w:bCs/>
        </w:rPr>
        <w:t>ed</w:t>
      </w:r>
      <w:r w:rsidRPr="005526EE">
        <w:rPr>
          <w:rFonts w:cstheme="minorHAnsi"/>
          <w:bCs/>
        </w:rPr>
        <w:t xml:space="preserve"> below</w:t>
      </w:r>
      <w:r>
        <w:rPr>
          <w:rFonts w:cstheme="minorHAnsi"/>
          <w:bCs/>
        </w:rPr>
        <w:t>:</w:t>
      </w:r>
    </w:p>
    <w:p w14:paraId="7E3E90E3" w14:textId="790E9D8F" w:rsidR="00B40161" w:rsidRDefault="00B40161" w:rsidP="00B40161">
      <w:pPr>
        <w:spacing w:after="0"/>
        <w:jc w:val="both"/>
      </w:pPr>
    </w:p>
    <w:p w14:paraId="40BF7AE6" w14:textId="394A73A3" w:rsidR="00B40161" w:rsidRPr="00B40161" w:rsidRDefault="00B40161" w:rsidP="00B40161">
      <w:pPr>
        <w:spacing w:after="0"/>
        <w:jc w:val="both"/>
        <w:rPr>
          <w:b/>
          <w:bCs/>
        </w:rPr>
      </w:pPr>
      <w:r w:rsidRPr="00B40161">
        <w:rPr>
          <w:b/>
          <w:bCs/>
        </w:rPr>
        <w:t xml:space="preserve">Update from </w:t>
      </w:r>
      <w:r>
        <w:rPr>
          <w:b/>
          <w:bCs/>
        </w:rPr>
        <w:t xml:space="preserve">the </w:t>
      </w:r>
      <w:r w:rsidRPr="00B40161">
        <w:rPr>
          <w:b/>
          <w:bCs/>
        </w:rPr>
        <w:t xml:space="preserve">Colorectal </w:t>
      </w:r>
      <w:r>
        <w:rPr>
          <w:b/>
          <w:bCs/>
        </w:rPr>
        <w:t>Team</w:t>
      </w:r>
      <w:r w:rsidRPr="00B40161">
        <w:rPr>
          <w:b/>
          <w:bCs/>
        </w:rPr>
        <w:t xml:space="preserve"> regarding </w:t>
      </w:r>
      <w:r>
        <w:rPr>
          <w:b/>
          <w:bCs/>
        </w:rPr>
        <w:t xml:space="preserve">2ww </w:t>
      </w:r>
      <w:r w:rsidRPr="00B40161">
        <w:rPr>
          <w:b/>
          <w:bCs/>
        </w:rPr>
        <w:t xml:space="preserve">Colorectal </w:t>
      </w:r>
      <w:r>
        <w:rPr>
          <w:b/>
          <w:bCs/>
        </w:rPr>
        <w:t xml:space="preserve">Suspected </w:t>
      </w:r>
      <w:r w:rsidRPr="00B40161">
        <w:rPr>
          <w:b/>
          <w:bCs/>
        </w:rPr>
        <w:t>Cancer Pathway:</w:t>
      </w:r>
    </w:p>
    <w:p w14:paraId="55833029" w14:textId="77777777" w:rsidR="00B40161" w:rsidRPr="00B40161" w:rsidRDefault="00B40161" w:rsidP="00B40161">
      <w:pPr>
        <w:jc w:val="both"/>
      </w:pPr>
      <w:r w:rsidRPr="00B40161">
        <w:t>COVID-19 is already putting significant strain on the NHS trust workload and the situation is expected to worsen over the next few weeks. This is likely to impact significantly on the trusts ability to triage and manage colorectal 2ww referrals for the coming weeks and months.</w:t>
      </w:r>
    </w:p>
    <w:p w14:paraId="24DB7E65" w14:textId="77777777" w:rsidR="00B40161" w:rsidRPr="00B40161" w:rsidRDefault="00B40161" w:rsidP="00B40161">
      <w:pPr>
        <w:jc w:val="both"/>
      </w:pPr>
      <w:r w:rsidRPr="00B40161">
        <w:t xml:space="preserve">BSG, JAG (endoscopy) and BSGAR (radiology) have issued urgent advice regarding lower GI investigation. </w:t>
      </w:r>
    </w:p>
    <w:p w14:paraId="138CB8F1" w14:textId="277F0597" w:rsidR="00B40161" w:rsidRDefault="00B40161" w:rsidP="00B40161">
      <w:pPr>
        <w:jc w:val="both"/>
      </w:pPr>
      <w:r w:rsidRPr="00B40161">
        <w:t>(</w:t>
      </w:r>
      <w:hyperlink r:id="rId9" w:history="1">
        <w:r w:rsidRPr="00B40161">
          <w:rPr>
            <w:rStyle w:val="Hyperlink"/>
          </w:rPr>
          <w:t>https://www.bsg.org.uk/covid-19-advice/endoscopy-activity-and-covid-19-bsg-and-jag-guidance</w:t>
        </w:r>
      </w:hyperlink>
      <w:r w:rsidRPr="00B40161">
        <w:t>)</w:t>
      </w:r>
    </w:p>
    <w:p w14:paraId="189FBDA2" w14:textId="77777777" w:rsidR="00B40161" w:rsidRPr="00B40161" w:rsidRDefault="00B40161" w:rsidP="00B40161">
      <w:pPr>
        <w:jc w:val="both"/>
      </w:pPr>
      <w:r w:rsidRPr="00B40161">
        <w:t>This document gives the following Key advice:</w:t>
      </w:r>
    </w:p>
    <w:p w14:paraId="433ABFA6" w14:textId="77777777" w:rsidR="00B40161" w:rsidRPr="00B40161" w:rsidRDefault="00B40161" w:rsidP="00B40161">
      <w:pPr>
        <w:numPr>
          <w:ilvl w:val="0"/>
          <w:numId w:val="27"/>
        </w:numPr>
        <w:contextualSpacing/>
        <w:jc w:val="both"/>
        <w:rPr>
          <w:i/>
        </w:rPr>
      </w:pPr>
      <w:r w:rsidRPr="00B40161">
        <w:rPr>
          <w:i/>
        </w:rPr>
        <w:t>Following the general strategic intent expressed by the UK Government to reduce any non-essential exposure to the COVID-19 virus and to take all reasonable measures to limit its spread, the BSG now recommends that all endoscopy except emergency and essential procedures should stop immediately (see below).</w:t>
      </w:r>
    </w:p>
    <w:p w14:paraId="3FD72E4D" w14:textId="77777777" w:rsidR="00B40161" w:rsidRPr="00B40161" w:rsidRDefault="00B40161" w:rsidP="00B40161">
      <w:pPr>
        <w:numPr>
          <w:ilvl w:val="0"/>
          <w:numId w:val="27"/>
        </w:numPr>
        <w:contextualSpacing/>
        <w:jc w:val="both"/>
        <w:rPr>
          <w:i/>
        </w:rPr>
      </w:pPr>
      <w:r w:rsidRPr="00B40161">
        <w:rPr>
          <w:i/>
        </w:rPr>
        <w:t>We recommend that 2WW referrals are risk assessed on a case by case basis before tests such as upper endoscopy, colonoscopy or CT abdomen/pelvis (or, exceptionally, CT colonography) are organised, to prioritise those felt clinically to be at greatest need and to take account of limited availability of facilities, staff and appropriate PPE.</w:t>
      </w:r>
    </w:p>
    <w:p w14:paraId="5294A492" w14:textId="77777777" w:rsidR="00B40161" w:rsidRDefault="00B40161" w:rsidP="00B40161">
      <w:pPr>
        <w:spacing w:after="0"/>
        <w:jc w:val="both"/>
      </w:pPr>
    </w:p>
    <w:p w14:paraId="3D182880" w14:textId="6D54357B" w:rsidR="00B40161" w:rsidRPr="00B40161" w:rsidRDefault="00B40161" w:rsidP="00B40161">
      <w:pPr>
        <w:jc w:val="both"/>
      </w:pPr>
      <w:r w:rsidRPr="00B40161">
        <w:t>In line with this we propose that:</w:t>
      </w:r>
    </w:p>
    <w:p w14:paraId="62D678E2" w14:textId="77777777" w:rsidR="00B40161" w:rsidRPr="00B40161" w:rsidRDefault="00B40161" w:rsidP="00B40161">
      <w:pPr>
        <w:numPr>
          <w:ilvl w:val="0"/>
          <w:numId w:val="11"/>
        </w:numPr>
        <w:contextualSpacing/>
        <w:jc w:val="both"/>
      </w:pPr>
      <w:r w:rsidRPr="00B40161">
        <w:rPr>
          <w:b/>
          <w:color w:val="FF0000"/>
          <w:u w:val="single"/>
        </w:rPr>
        <w:t>ALL</w:t>
      </w:r>
      <w:r w:rsidRPr="00B40161">
        <w:t xml:space="preserve"> colorectal 2ww referrals should be FIT tested by the referring GP </w:t>
      </w:r>
      <w:r w:rsidRPr="00B40161">
        <w:rPr>
          <w:b/>
          <w:color w:val="FF0000"/>
          <w:u w:val="single"/>
        </w:rPr>
        <w:t>PRIOR</w:t>
      </w:r>
      <w:r w:rsidRPr="00B40161">
        <w:t xml:space="preserve"> to referral. The only exception to this will be patients with a </w:t>
      </w:r>
      <w:r w:rsidRPr="00B40161">
        <w:rPr>
          <w:b/>
        </w:rPr>
        <w:t>palpable rectal mass</w:t>
      </w:r>
      <w:r w:rsidRPr="00B40161">
        <w:t xml:space="preserve"> who will be assessed in clinic prior to any investigation.</w:t>
      </w:r>
    </w:p>
    <w:p w14:paraId="58E873C1" w14:textId="77777777" w:rsidR="00B40161" w:rsidRPr="00B40161" w:rsidRDefault="00B40161" w:rsidP="00B40161">
      <w:pPr>
        <w:ind w:left="720"/>
        <w:contextualSpacing/>
        <w:jc w:val="both"/>
      </w:pPr>
    </w:p>
    <w:p w14:paraId="68ADA467" w14:textId="77777777" w:rsidR="00B40161" w:rsidRPr="00B40161" w:rsidRDefault="00B40161" w:rsidP="00B40161">
      <w:pPr>
        <w:numPr>
          <w:ilvl w:val="0"/>
          <w:numId w:val="11"/>
        </w:numPr>
        <w:contextualSpacing/>
        <w:jc w:val="both"/>
      </w:pPr>
      <w:r w:rsidRPr="00B40161">
        <w:t>Any 2ww referrals without evidence of FIT testing will be returned to the referrer.</w:t>
      </w:r>
    </w:p>
    <w:p w14:paraId="6888F5D5" w14:textId="77777777" w:rsidR="00B40161" w:rsidRPr="00B40161" w:rsidRDefault="00B40161" w:rsidP="00B40161">
      <w:pPr>
        <w:ind w:left="720"/>
        <w:contextualSpacing/>
        <w:jc w:val="both"/>
      </w:pPr>
    </w:p>
    <w:p w14:paraId="694BD43A" w14:textId="77777777" w:rsidR="00B40161" w:rsidRPr="00B40161" w:rsidRDefault="00B40161" w:rsidP="00B40161">
      <w:pPr>
        <w:numPr>
          <w:ilvl w:val="0"/>
          <w:numId w:val="11"/>
        </w:numPr>
        <w:contextualSpacing/>
        <w:jc w:val="both"/>
      </w:pPr>
      <w:r w:rsidRPr="00B40161">
        <w:t>FIT testing can be requested in the same way as we are currently doing for low risk symptomatic patients.</w:t>
      </w:r>
    </w:p>
    <w:p w14:paraId="1D19ABD6" w14:textId="77777777" w:rsidR="00B40161" w:rsidRPr="00B40161" w:rsidRDefault="00B40161" w:rsidP="00B40161">
      <w:pPr>
        <w:ind w:left="720"/>
        <w:contextualSpacing/>
        <w:jc w:val="both"/>
      </w:pPr>
    </w:p>
    <w:p w14:paraId="7CE1E065" w14:textId="77777777" w:rsidR="00B40161" w:rsidRPr="00B40161" w:rsidRDefault="00B40161" w:rsidP="00B40161">
      <w:pPr>
        <w:numPr>
          <w:ilvl w:val="0"/>
          <w:numId w:val="11"/>
        </w:numPr>
        <w:contextualSpacing/>
        <w:jc w:val="both"/>
      </w:pPr>
      <w:r w:rsidRPr="00B40161">
        <w:t xml:space="preserve">Patients who are </w:t>
      </w:r>
      <w:r w:rsidRPr="00B40161">
        <w:rPr>
          <w:b/>
        </w:rPr>
        <w:t>FIT positive</w:t>
      </w:r>
      <w:r w:rsidRPr="00B40161">
        <w:t xml:space="preserve"> can be referred on the usual form with the FIT result and date documented. These patients will have telephone triage. Following this all patients will be prioritised according to level of FIT result, symptoms and fitness to urgent or deferred investigation. Patients suitable for deferred investigation will be kept on a 2ww pathway and investigated once national and local conditions allow.</w:t>
      </w:r>
    </w:p>
    <w:p w14:paraId="006A709E" w14:textId="77777777" w:rsidR="00B40161" w:rsidRPr="00B40161" w:rsidRDefault="00B40161" w:rsidP="00B40161">
      <w:pPr>
        <w:ind w:left="720"/>
        <w:contextualSpacing/>
        <w:jc w:val="both"/>
      </w:pPr>
    </w:p>
    <w:p w14:paraId="0E6EFC7F" w14:textId="77777777" w:rsidR="00B40161" w:rsidRPr="00B40161" w:rsidRDefault="00B40161" w:rsidP="00B40161">
      <w:pPr>
        <w:numPr>
          <w:ilvl w:val="0"/>
          <w:numId w:val="11"/>
        </w:numPr>
        <w:contextualSpacing/>
        <w:jc w:val="both"/>
      </w:pPr>
      <w:r w:rsidRPr="00B40161">
        <w:t xml:space="preserve">Patients who are </w:t>
      </w:r>
      <w:r w:rsidRPr="00B40161">
        <w:rPr>
          <w:b/>
        </w:rPr>
        <w:t>FIT negative</w:t>
      </w:r>
      <w:r w:rsidRPr="00B40161">
        <w:t xml:space="preserve"> should not be referred unless there is a very high level of clinical suspicion. If this is the case the referral will be reviewed by a consultant colorectal surgeon before further investigation is requested.</w:t>
      </w:r>
    </w:p>
    <w:p w14:paraId="52D95639" w14:textId="77777777" w:rsidR="00B40161" w:rsidRPr="00B40161" w:rsidRDefault="00B40161" w:rsidP="00B40161">
      <w:pPr>
        <w:ind w:left="720"/>
        <w:contextualSpacing/>
      </w:pPr>
    </w:p>
    <w:p w14:paraId="76CDB5FD" w14:textId="77777777" w:rsidR="00B40161" w:rsidRPr="00B40161" w:rsidRDefault="00B40161" w:rsidP="00B40161">
      <w:pPr>
        <w:numPr>
          <w:ilvl w:val="0"/>
          <w:numId w:val="11"/>
        </w:numPr>
        <w:contextualSpacing/>
        <w:jc w:val="both"/>
      </w:pPr>
      <w:r w:rsidRPr="00B40161">
        <w:t>We would strongly recommend that GPs carefully consider the age and fitness of any patients they are considering for referral. Only patients felt to be fit for subsequent treatment will be candidates for investigation.</w:t>
      </w:r>
    </w:p>
    <w:p w14:paraId="4CCB9502" w14:textId="77777777" w:rsidR="00B40161" w:rsidRPr="00B40161" w:rsidRDefault="00B40161" w:rsidP="00B40161">
      <w:pPr>
        <w:ind w:left="720"/>
        <w:contextualSpacing/>
      </w:pPr>
    </w:p>
    <w:p w14:paraId="279149E6" w14:textId="77777777" w:rsidR="00B40161" w:rsidRPr="00B40161" w:rsidRDefault="00B40161" w:rsidP="00B40161">
      <w:pPr>
        <w:numPr>
          <w:ilvl w:val="0"/>
          <w:numId w:val="11"/>
        </w:numPr>
        <w:contextualSpacing/>
        <w:jc w:val="both"/>
      </w:pPr>
      <w:r w:rsidRPr="00B40161">
        <w:t xml:space="preserve">For any queries from primary care regarding appropriateness of referrals please email Mrs D Nicol (Colorectal cancer lead) directly who will respond to all queries within 7 days. </w:t>
      </w:r>
      <w:r w:rsidRPr="00B40161">
        <w:rPr>
          <w:b/>
        </w:rPr>
        <w:t>deborahnicol@nhs.net</w:t>
      </w:r>
    </w:p>
    <w:p w14:paraId="0BCCCF5B" w14:textId="77777777" w:rsidR="00B40161" w:rsidRPr="00B40161" w:rsidRDefault="00B40161" w:rsidP="00B40161">
      <w:pPr>
        <w:ind w:left="720"/>
        <w:contextualSpacing/>
      </w:pPr>
    </w:p>
    <w:p w14:paraId="4B3B7E85" w14:textId="77777777" w:rsidR="00B40161" w:rsidRPr="00B40161" w:rsidRDefault="00B40161" w:rsidP="00B40161">
      <w:pPr>
        <w:numPr>
          <w:ilvl w:val="0"/>
          <w:numId w:val="11"/>
        </w:numPr>
        <w:contextualSpacing/>
        <w:jc w:val="both"/>
      </w:pPr>
      <w:r w:rsidRPr="00B40161">
        <w:t>2ww referrals already received by the trust but not yet investigated will not be returned but will have FIT testing requested by the nurse triage team prior to any investigation.</w:t>
      </w:r>
    </w:p>
    <w:p w14:paraId="7B2E53E9" w14:textId="77777777" w:rsidR="00B40161" w:rsidRDefault="00B40161" w:rsidP="00B40161">
      <w:pPr>
        <w:ind w:left="360"/>
      </w:pPr>
    </w:p>
    <w:p w14:paraId="44719174" w14:textId="766AD305" w:rsidR="00B40161" w:rsidRPr="00B40161" w:rsidRDefault="00B40161" w:rsidP="00B40161">
      <w:pPr>
        <w:ind w:left="360"/>
      </w:pPr>
      <w:r w:rsidRPr="00B40161">
        <w:t>Please see the following flowcharts for greater detail.</w:t>
      </w:r>
    </w:p>
    <w:p w14:paraId="4A8E9C21" w14:textId="217D0ADD" w:rsidR="002E1AD5" w:rsidRDefault="00B40161" w:rsidP="00B40161">
      <w:pPr>
        <w:jc w:val="center"/>
        <w:rPr>
          <w:rFonts w:cstheme="minorHAnsi"/>
        </w:rPr>
      </w:pPr>
      <w:r>
        <w:rPr>
          <w:rFonts w:cstheme="minorHAnsi"/>
          <w:noProof/>
        </w:rPr>
        <w:drawing>
          <wp:inline distT="0" distB="0" distL="0" distR="0" wp14:anchorId="2ECE086E" wp14:editId="2726AFE0">
            <wp:extent cx="3549044" cy="5128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2126" cy="5190513"/>
                    </a:xfrm>
                    <a:prstGeom prst="rect">
                      <a:avLst/>
                    </a:prstGeom>
                    <a:noFill/>
                  </pic:spPr>
                </pic:pic>
              </a:graphicData>
            </a:graphic>
          </wp:inline>
        </w:drawing>
      </w:r>
    </w:p>
    <w:p w14:paraId="7B08F5AA" w14:textId="48F8D8C1" w:rsidR="002E1AD5" w:rsidRDefault="00B40161" w:rsidP="00B40161">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14:anchorId="5518DF02" wp14:editId="5B6190B2">
            <wp:extent cx="4373880" cy="571720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6298" cy="5772652"/>
                    </a:xfrm>
                    <a:prstGeom prst="rect">
                      <a:avLst/>
                    </a:prstGeom>
                    <a:noFill/>
                  </pic:spPr>
                </pic:pic>
              </a:graphicData>
            </a:graphic>
          </wp:inline>
        </w:drawing>
      </w:r>
    </w:p>
    <w:p w14:paraId="0DA037A9" w14:textId="5684162D" w:rsidR="00B40161" w:rsidRDefault="00B40161" w:rsidP="00B40161">
      <w:pPr>
        <w:autoSpaceDE w:val="0"/>
        <w:autoSpaceDN w:val="0"/>
        <w:adjustRightInd w:val="0"/>
        <w:spacing w:after="0" w:line="240" w:lineRule="auto"/>
        <w:jc w:val="center"/>
        <w:rPr>
          <w:rFonts w:ascii="Arial" w:hAnsi="Arial" w:cs="Arial"/>
          <w:sz w:val="24"/>
          <w:szCs w:val="24"/>
        </w:rPr>
      </w:pPr>
    </w:p>
    <w:p w14:paraId="053C3BBB" w14:textId="05550837" w:rsidR="00B40161" w:rsidRPr="004C2F3B" w:rsidRDefault="00B40161" w:rsidP="00B40161">
      <w:pPr>
        <w:spacing w:after="0"/>
        <w:jc w:val="both"/>
        <w:rPr>
          <w:rFonts w:cstheme="minorHAnsi"/>
          <w:b/>
          <w:bCs/>
        </w:rPr>
      </w:pPr>
      <w:r w:rsidRPr="004C2F3B">
        <w:rPr>
          <w:rFonts w:cstheme="minorHAnsi"/>
          <w:b/>
          <w:bCs/>
        </w:rPr>
        <w:t>NATIONAL UPDATES</w:t>
      </w:r>
      <w:r>
        <w:rPr>
          <w:rFonts w:cstheme="minorHAnsi"/>
          <w:b/>
          <w:bCs/>
        </w:rPr>
        <w:t xml:space="preserve"> (FOR INFORMATION)</w:t>
      </w:r>
      <w:r w:rsidRPr="004C2F3B">
        <w:rPr>
          <w:rFonts w:cstheme="minorHAnsi"/>
          <w:b/>
          <w:bCs/>
        </w:rPr>
        <w:t>:</w:t>
      </w:r>
    </w:p>
    <w:p w14:paraId="72CC173F" w14:textId="77777777" w:rsidR="00B40161" w:rsidRDefault="00B40161" w:rsidP="00B40161">
      <w:pPr>
        <w:spacing w:after="0"/>
        <w:jc w:val="both"/>
        <w:rPr>
          <w:rFonts w:cstheme="minorHAnsi"/>
          <w:b/>
          <w:bCs/>
        </w:rPr>
      </w:pPr>
    </w:p>
    <w:p w14:paraId="1AA4D36F" w14:textId="77777777" w:rsidR="00B40161" w:rsidRPr="004C2F3B" w:rsidRDefault="00B40161" w:rsidP="00B40161">
      <w:pPr>
        <w:spacing w:after="0"/>
        <w:jc w:val="both"/>
        <w:rPr>
          <w:rFonts w:cstheme="minorHAnsi"/>
          <w:b/>
          <w:bCs/>
        </w:rPr>
      </w:pPr>
      <w:r w:rsidRPr="004C2F3B">
        <w:rPr>
          <w:rFonts w:cstheme="minorHAnsi"/>
          <w:b/>
          <w:bCs/>
        </w:rPr>
        <w:t>Establishment of Midlands Cancer Surgical Hub:</w:t>
      </w:r>
    </w:p>
    <w:p w14:paraId="4050136E" w14:textId="77777777" w:rsidR="00B40161" w:rsidRPr="004C2F3B" w:rsidRDefault="00B40161" w:rsidP="00B40161">
      <w:pPr>
        <w:jc w:val="both"/>
      </w:pPr>
      <w:r w:rsidRPr="004C2F3B">
        <w:t>NHSE guidance issued on 7</w:t>
      </w:r>
      <w:r w:rsidRPr="004C2F3B">
        <w:rPr>
          <w:vertAlign w:val="superscript"/>
        </w:rPr>
        <w:t>th</w:t>
      </w:r>
      <w:r w:rsidRPr="004C2F3B">
        <w:t xml:space="preserve"> April 2020 entitled “Clinical guide for the management of essential cancer surgery for adults during the coronavirus pandemic</w:t>
      </w:r>
      <w:r>
        <w:t>” outlined requirements for local cancer systems to have arrangements in place to m</w:t>
      </w:r>
      <w:r w:rsidRPr="004C2F3B">
        <w:t xml:space="preserve">aintain essential cancer surgery </w:t>
      </w:r>
      <w:r>
        <w:t xml:space="preserve">and ensure the </w:t>
      </w:r>
      <w:r w:rsidRPr="004C2F3B">
        <w:t>follow</w:t>
      </w:r>
      <w:r>
        <w:t>ing</w:t>
      </w:r>
      <w:r w:rsidRPr="004C2F3B">
        <w:t xml:space="preserve"> principles</w:t>
      </w:r>
      <w:r>
        <w:t xml:space="preserve"> </w:t>
      </w:r>
      <w:r w:rsidRPr="00DE695B">
        <w:t>are delivered</w:t>
      </w:r>
      <w:r w:rsidRPr="004C2F3B">
        <w:t xml:space="preserve">: </w:t>
      </w:r>
    </w:p>
    <w:p w14:paraId="5B062F16" w14:textId="77777777" w:rsidR="00B40161" w:rsidRPr="00DE695B" w:rsidRDefault="00B40161" w:rsidP="00B40161">
      <w:pPr>
        <w:pStyle w:val="ListParagraph"/>
        <w:numPr>
          <w:ilvl w:val="0"/>
          <w:numId w:val="28"/>
        </w:numPr>
        <w:jc w:val="both"/>
      </w:pPr>
      <w:r w:rsidRPr="00DE695B">
        <w:t xml:space="preserve">Equitable treatment of patients with life-threatening cancer who need access to surgical and critical care capacity, in relation to COVID-19 </w:t>
      </w:r>
      <w:proofErr w:type="gramStart"/>
      <w:r w:rsidRPr="00DE695B">
        <w:t>patients;</w:t>
      </w:r>
      <w:proofErr w:type="gramEnd"/>
      <w:r w:rsidRPr="00DE695B">
        <w:t xml:space="preserve"> </w:t>
      </w:r>
    </w:p>
    <w:p w14:paraId="17494DD0" w14:textId="77777777" w:rsidR="00B40161" w:rsidRPr="00DE695B" w:rsidRDefault="00B40161" w:rsidP="00B40161">
      <w:pPr>
        <w:pStyle w:val="ListParagraph"/>
        <w:numPr>
          <w:ilvl w:val="0"/>
          <w:numId w:val="28"/>
        </w:numPr>
        <w:jc w:val="both"/>
      </w:pPr>
      <w:r w:rsidRPr="00DE695B">
        <w:t xml:space="preserve">In line with national guidelines, balancing the urgency of cancer surgery against the risks of the procedure, particularly the risk of complications and a requirement for intensive care </w:t>
      </w:r>
      <w:proofErr w:type="gramStart"/>
      <w:r w:rsidRPr="00DE695B">
        <w:t>support;</w:t>
      </w:r>
      <w:proofErr w:type="gramEnd"/>
      <w:r w:rsidRPr="00DE695B">
        <w:t xml:space="preserve"> </w:t>
      </w:r>
    </w:p>
    <w:p w14:paraId="723AF0D6" w14:textId="77777777" w:rsidR="00B40161" w:rsidRPr="00DE695B" w:rsidRDefault="00B40161" w:rsidP="00B40161">
      <w:pPr>
        <w:pStyle w:val="ListParagraph"/>
        <w:numPr>
          <w:ilvl w:val="0"/>
          <w:numId w:val="28"/>
        </w:numPr>
        <w:jc w:val="both"/>
      </w:pPr>
      <w:r w:rsidRPr="00DE695B">
        <w:t xml:space="preserve">Equity across local healthcare systems, with capacity maximised in dedicated NHS or independent sector hospitals to allocate patient activity based on the greatest prospects for </w:t>
      </w:r>
      <w:proofErr w:type="gramStart"/>
      <w:r w:rsidRPr="00DE695B">
        <w:t>cure;</w:t>
      </w:r>
      <w:proofErr w:type="gramEnd"/>
      <w:r w:rsidRPr="00DE695B">
        <w:t xml:space="preserve"> </w:t>
      </w:r>
    </w:p>
    <w:p w14:paraId="5A363E7F" w14:textId="77777777" w:rsidR="00B40161" w:rsidRPr="00DE695B" w:rsidRDefault="00B40161" w:rsidP="00B40161">
      <w:pPr>
        <w:pStyle w:val="ListParagraph"/>
        <w:numPr>
          <w:ilvl w:val="0"/>
          <w:numId w:val="28"/>
        </w:numPr>
        <w:jc w:val="both"/>
      </w:pPr>
      <w:r w:rsidRPr="00DE695B">
        <w:t xml:space="preserve">Safety of patients, especially with regard to infection control and access to critical care as </w:t>
      </w:r>
      <w:proofErr w:type="gramStart"/>
      <w:r w:rsidRPr="00DE695B">
        <w:t>required;</w:t>
      </w:r>
      <w:proofErr w:type="gramEnd"/>
      <w:r w:rsidRPr="00DE695B">
        <w:t xml:space="preserve"> </w:t>
      </w:r>
    </w:p>
    <w:p w14:paraId="6E08789B" w14:textId="77777777" w:rsidR="00B40161" w:rsidRPr="001B38E2" w:rsidRDefault="00B40161" w:rsidP="00B40161">
      <w:pPr>
        <w:pStyle w:val="ListParagraph"/>
        <w:numPr>
          <w:ilvl w:val="0"/>
          <w:numId w:val="28"/>
        </w:numPr>
        <w:jc w:val="both"/>
        <w:rPr>
          <w:rFonts w:ascii="Arial" w:hAnsi="Arial" w:cs="Arial"/>
        </w:rPr>
      </w:pPr>
      <w:r w:rsidRPr="00DE695B">
        <w:t xml:space="preserve">Safety of staff undertaking surgery and other care. </w:t>
      </w:r>
    </w:p>
    <w:p w14:paraId="5607D6C8" w14:textId="77777777" w:rsidR="00B40161" w:rsidRDefault="00B40161" w:rsidP="00B40161">
      <w:pPr>
        <w:spacing w:after="0"/>
        <w:jc w:val="both"/>
        <w:rPr>
          <w:rFonts w:cstheme="minorHAnsi"/>
        </w:rPr>
      </w:pPr>
    </w:p>
    <w:p w14:paraId="05C795E5" w14:textId="77777777" w:rsidR="00B40161" w:rsidRDefault="00B40161" w:rsidP="00B40161">
      <w:pPr>
        <w:jc w:val="both"/>
      </w:pPr>
      <w:r>
        <w:t xml:space="preserve">Worcestershire Acute Hospitals NHS Trust and Wye Valley NHS Trust have put arrangements in place locally to secure cancer surgery capacity at ‘clean’ Covid-19 free sites in Herefordshire and Worcestershire. </w:t>
      </w:r>
    </w:p>
    <w:p w14:paraId="54CE207F" w14:textId="77777777" w:rsidR="00B40161" w:rsidRDefault="00B40161" w:rsidP="00B40161">
      <w:pPr>
        <w:jc w:val="both"/>
        <w:rPr>
          <w:color w:val="000000"/>
        </w:rPr>
      </w:pPr>
      <w:r w:rsidRPr="001B38E2">
        <w:t xml:space="preserve">The Midlands Cancer Alliance is working with 5 main cancer surgery providers across the East and West Midlands to establish a </w:t>
      </w:r>
      <w:r>
        <w:t xml:space="preserve">‘Midlands </w:t>
      </w:r>
      <w:r w:rsidRPr="001B38E2">
        <w:t>Cancer Surgical Hub</w:t>
      </w:r>
      <w:r>
        <w:t>’</w:t>
      </w:r>
      <w:r w:rsidRPr="001B38E2">
        <w:t>. This will ensure equitable access to surgical capacity across the footprint for those patients who require it</w:t>
      </w:r>
      <w:r>
        <w:t xml:space="preserve">, particularly time-critical surgery, complex surgery or surgery that requires access to ITU/HDU facilities post operatively. Referrals to the Midlands Cancer Surgical Hub will be prioritised </w:t>
      </w:r>
      <w:proofErr w:type="gramStart"/>
      <w:r w:rsidRPr="001B38E2">
        <w:rPr>
          <w:color w:val="000000"/>
        </w:rPr>
        <w:t>on the basis of</w:t>
      </w:r>
      <w:proofErr w:type="gramEnd"/>
      <w:r w:rsidRPr="001B38E2">
        <w:rPr>
          <w:color w:val="000000"/>
        </w:rPr>
        <w:t xml:space="preserve"> clinical need and the level of risk, both patient and service-related, </w:t>
      </w:r>
      <w:r>
        <w:t xml:space="preserve">after which the referral will be </w:t>
      </w:r>
      <w:r w:rsidRPr="001B38E2">
        <w:rPr>
          <w:color w:val="000000"/>
        </w:rPr>
        <w:t>match</w:t>
      </w:r>
      <w:r>
        <w:t>ed</w:t>
      </w:r>
      <w:r w:rsidRPr="001B38E2">
        <w:rPr>
          <w:color w:val="000000"/>
        </w:rPr>
        <w:t xml:space="preserve"> with appropriate surgical specialisms and capacity across the cancer system. </w:t>
      </w:r>
    </w:p>
    <w:p w14:paraId="02C18BB8" w14:textId="77777777" w:rsidR="00B40161" w:rsidRDefault="00B40161" w:rsidP="00B40161">
      <w:pPr>
        <w:jc w:val="both"/>
        <w:rPr>
          <w:color w:val="000000"/>
        </w:rPr>
      </w:pPr>
      <w:r>
        <w:rPr>
          <w:color w:val="000000"/>
        </w:rPr>
        <w:t xml:space="preserve">Further information can be found at: </w:t>
      </w:r>
      <w:hyperlink r:id="rId12" w:history="1">
        <w:r w:rsidRPr="00EA3EB1">
          <w:rPr>
            <w:rStyle w:val="Hyperlink"/>
          </w:rPr>
          <w:t>https://www.england.nhs.uk/coronavirus/wp-content/uploads/sites/52/2020/04/C0239-Specialty-guide-Essential-Cancer-surgery-and-coronavirus-v1-70420.pdf</w:t>
        </w:r>
      </w:hyperlink>
    </w:p>
    <w:p w14:paraId="5619D4AE" w14:textId="77777777" w:rsidR="00B40161" w:rsidRPr="00EB7924" w:rsidRDefault="00B40161" w:rsidP="00B40161">
      <w:pPr>
        <w:jc w:val="both"/>
        <w:rPr>
          <w:b/>
          <w:bCs/>
          <w:color w:val="000000"/>
        </w:rPr>
      </w:pPr>
      <w:r w:rsidRPr="00EB7924">
        <w:rPr>
          <w:b/>
          <w:bCs/>
          <w:color w:val="000000"/>
        </w:rPr>
        <w:t>Cervical Screening:</w:t>
      </w:r>
    </w:p>
    <w:p w14:paraId="3800F1F4" w14:textId="70D9B7D2" w:rsidR="00B40161" w:rsidRPr="00EB7924" w:rsidRDefault="00005206" w:rsidP="00B40161">
      <w:pPr>
        <w:jc w:val="both"/>
        <w:rPr>
          <w:rFonts w:cstheme="minorHAnsi"/>
        </w:rPr>
      </w:pPr>
      <w:r>
        <w:rPr>
          <w:color w:val="000000"/>
        </w:rPr>
        <w:t>The c</w:t>
      </w:r>
      <w:r w:rsidR="00B40161">
        <w:rPr>
          <w:color w:val="000000"/>
        </w:rPr>
        <w:t xml:space="preserve">urrent guidance around cervical screening </w:t>
      </w:r>
      <w:r>
        <w:rPr>
          <w:color w:val="000000"/>
        </w:rPr>
        <w:t xml:space="preserve">is </w:t>
      </w:r>
      <w:r w:rsidR="00B40161">
        <w:rPr>
          <w:color w:val="000000"/>
        </w:rPr>
        <w:t xml:space="preserve">attached. </w:t>
      </w:r>
      <w:r>
        <w:rPr>
          <w:color w:val="000000"/>
        </w:rPr>
        <w:t xml:space="preserve">We </w:t>
      </w:r>
      <w:r w:rsidR="0076643F">
        <w:rPr>
          <w:color w:val="000000"/>
        </w:rPr>
        <w:t>are not aware of any</w:t>
      </w:r>
      <w:r>
        <w:rPr>
          <w:color w:val="000000"/>
        </w:rPr>
        <w:t xml:space="preserve"> </w:t>
      </w:r>
      <w:r w:rsidR="0076643F">
        <w:rPr>
          <w:color w:val="000000"/>
        </w:rPr>
        <w:t>up</w:t>
      </w:r>
      <w:r>
        <w:rPr>
          <w:color w:val="000000"/>
        </w:rPr>
        <w:t>da</w:t>
      </w:r>
      <w:r w:rsidR="0076643F">
        <w:rPr>
          <w:color w:val="000000"/>
        </w:rPr>
        <w:t>t</w:t>
      </w:r>
      <w:r>
        <w:rPr>
          <w:color w:val="000000"/>
        </w:rPr>
        <w:t>e</w:t>
      </w:r>
      <w:r w:rsidR="0076643F">
        <w:rPr>
          <w:color w:val="000000"/>
        </w:rPr>
        <w:t>s</w:t>
      </w:r>
      <w:r>
        <w:rPr>
          <w:color w:val="000000"/>
        </w:rPr>
        <w:t xml:space="preserve"> </w:t>
      </w:r>
      <w:r w:rsidR="0076643F">
        <w:rPr>
          <w:color w:val="000000"/>
        </w:rPr>
        <w:t>to the current position as outlined in the letter attached dated</w:t>
      </w:r>
      <w:r>
        <w:rPr>
          <w:color w:val="000000"/>
        </w:rPr>
        <w:t xml:space="preserve"> 24</w:t>
      </w:r>
      <w:r w:rsidRPr="00005206">
        <w:rPr>
          <w:color w:val="000000"/>
          <w:vertAlign w:val="superscript"/>
        </w:rPr>
        <w:t>th</w:t>
      </w:r>
      <w:r>
        <w:rPr>
          <w:color w:val="000000"/>
        </w:rPr>
        <w:t xml:space="preserve"> March 2020</w:t>
      </w:r>
      <w:r w:rsidR="0076643F">
        <w:rPr>
          <w:color w:val="000000"/>
        </w:rPr>
        <w:t>. A</w:t>
      </w:r>
      <w:r>
        <w:rPr>
          <w:color w:val="000000"/>
        </w:rPr>
        <w:t xml:space="preserve"> c</w:t>
      </w:r>
      <w:r w:rsidR="00B40161" w:rsidRPr="00EB7924">
        <w:rPr>
          <w:rFonts w:cstheme="minorHAnsi"/>
        </w:rPr>
        <w:t>omplete set of cervical screening guidance</w:t>
      </w:r>
      <w:r w:rsidR="00B40161">
        <w:rPr>
          <w:rFonts w:cstheme="minorHAnsi"/>
        </w:rPr>
        <w:t xml:space="preserve"> is </w:t>
      </w:r>
      <w:r w:rsidR="0076643F">
        <w:rPr>
          <w:rFonts w:cstheme="minorHAnsi"/>
        </w:rPr>
        <w:t xml:space="preserve">however </w:t>
      </w:r>
      <w:r w:rsidR="00B40161">
        <w:rPr>
          <w:rFonts w:cstheme="minorHAnsi"/>
        </w:rPr>
        <w:t>expected to</w:t>
      </w:r>
      <w:r w:rsidR="00B40161" w:rsidRPr="00EB7924">
        <w:rPr>
          <w:rFonts w:cstheme="minorHAnsi"/>
        </w:rPr>
        <w:t xml:space="preserve"> be released </w:t>
      </w:r>
      <w:r>
        <w:rPr>
          <w:rFonts w:cstheme="minorHAnsi"/>
        </w:rPr>
        <w:t>within the next few da</w:t>
      </w:r>
      <w:r w:rsidR="0076643F">
        <w:rPr>
          <w:rFonts w:cstheme="minorHAnsi"/>
        </w:rPr>
        <w:t>y</w:t>
      </w:r>
      <w:r>
        <w:rPr>
          <w:rFonts w:cstheme="minorHAnsi"/>
        </w:rPr>
        <w:t>s</w:t>
      </w:r>
      <w:r w:rsidR="0076643F">
        <w:rPr>
          <w:rFonts w:cstheme="minorHAnsi"/>
        </w:rPr>
        <w:t xml:space="preserve">, and this </w:t>
      </w:r>
      <w:r w:rsidR="00B40161">
        <w:rPr>
          <w:rFonts w:cstheme="minorHAnsi"/>
        </w:rPr>
        <w:t xml:space="preserve">will be circulated </w:t>
      </w:r>
      <w:r w:rsidR="0076643F">
        <w:rPr>
          <w:rFonts w:cstheme="minorHAnsi"/>
        </w:rPr>
        <w:t>to all practices once available</w:t>
      </w:r>
      <w:r w:rsidR="00B40161">
        <w:rPr>
          <w:rFonts w:cstheme="minorHAnsi"/>
        </w:rPr>
        <w:t xml:space="preserve">. </w:t>
      </w:r>
    </w:p>
    <w:bookmarkStart w:id="0" w:name="_MON_1648462120"/>
    <w:bookmarkEnd w:id="0"/>
    <w:p w14:paraId="174EE6D9" w14:textId="77777777" w:rsidR="00B40161" w:rsidRDefault="00B40161" w:rsidP="00B40161">
      <w:pPr>
        <w:jc w:val="both"/>
        <w:rPr>
          <w:color w:val="000000"/>
        </w:rPr>
      </w:pPr>
      <w:r>
        <w:object w:dxaOrig="1508" w:dyaOrig="983" w14:anchorId="2CB3B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3" o:title=""/>
          </v:shape>
          <o:OLEObject Type="Embed" ProgID="Word.Document.12" ShapeID="_x0000_i1025" DrawAspect="Icon" ObjectID="_1648465984" r:id="rId14">
            <o:FieldCodes>\s</o:FieldCodes>
          </o:OLEObject>
        </w:object>
      </w:r>
    </w:p>
    <w:p w14:paraId="245396A3" w14:textId="77777777" w:rsidR="00B40161" w:rsidRDefault="00B40161" w:rsidP="00B40161">
      <w:pPr>
        <w:autoSpaceDE w:val="0"/>
        <w:autoSpaceDN w:val="0"/>
        <w:adjustRightInd w:val="0"/>
        <w:spacing w:after="0" w:line="240" w:lineRule="auto"/>
        <w:jc w:val="both"/>
        <w:rPr>
          <w:rFonts w:ascii="Arial" w:hAnsi="Arial" w:cs="Arial"/>
          <w:sz w:val="24"/>
          <w:szCs w:val="24"/>
        </w:rPr>
      </w:pPr>
    </w:p>
    <w:sectPr w:rsidR="00B40161" w:rsidSect="002E1AD5">
      <w:footerReference w:type="default" r:id="rId15"/>
      <w:pgSz w:w="11906" w:h="16838"/>
      <w:pgMar w:top="1276"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BFD84" w14:textId="77777777" w:rsidR="00DE0B13" w:rsidRDefault="00DE0B13" w:rsidP="00187B55">
      <w:pPr>
        <w:spacing w:after="0" w:line="240" w:lineRule="auto"/>
      </w:pPr>
      <w:r>
        <w:separator/>
      </w:r>
    </w:p>
  </w:endnote>
  <w:endnote w:type="continuationSeparator" w:id="0">
    <w:p w14:paraId="23CA7016" w14:textId="77777777" w:rsidR="00DE0B13" w:rsidRDefault="00DE0B13" w:rsidP="0018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7C28" w14:textId="77777777" w:rsidR="002E1AD5" w:rsidRDefault="002E1AD5">
    <w:pPr>
      <w:pStyle w:val="Footer"/>
      <w:jc w:val="right"/>
    </w:pPr>
  </w:p>
  <w:sdt>
    <w:sdtPr>
      <w:id w:val="269282999"/>
      <w:docPartObj>
        <w:docPartGallery w:val="Page Numbers (Bottom of Page)"/>
        <w:docPartUnique/>
      </w:docPartObj>
    </w:sdtPr>
    <w:sdtEndPr>
      <w:rPr>
        <w:noProof/>
      </w:rPr>
    </w:sdtEndPr>
    <w:sdtContent>
      <w:p w14:paraId="4811F2F1" w14:textId="312F28D0" w:rsidR="002E1AD5" w:rsidRDefault="002E1AD5" w:rsidP="002E1A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2A8E2" w14:textId="77777777" w:rsidR="00DE0B13" w:rsidRDefault="00DE0B13" w:rsidP="00187B55">
      <w:pPr>
        <w:spacing w:after="0" w:line="240" w:lineRule="auto"/>
      </w:pPr>
      <w:r>
        <w:separator/>
      </w:r>
    </w:p>
  </w:footnote>
  <w:footnote w:type="continuationSeparator" w:id="0">
    <w:p w14:paraId="05DE5326" w14:textId="77777777" w:rsidR="00DE0B13" w:rsidRDefault="00DE0B13" w:rsidP="00187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21BA"/>
    <w:multiLevelType w:val="hybridMultilevel"/>
    <w:tmpl w:val="270669EE"/>
    <w:lvl w:ilvl="0" w:tplc="C90C8D5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C208B"/>
    <w:multiLevelType w:val="hybridMultilevel"/>
    <w:tmpl w:val="51D00600"/>
    <w:lvl w:ilvl="0" w:tplc="08090019">
      <w:start w:val="1"/>
      <w:numFmt w:val="lowerLetter"/>
      <w:lvlText w:val="%1."/>
      <w:lvlJc w:val="left"/>
      <w:pPr>
        <w:ind w:left="1080" w:hanging="360"/>
      </w:p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B09CFD0E">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243584"/>
    <w:multiLevelType w:val="hybridMultilevel"/>
    <w:tmpl w:val="8EFE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90E5E"/>
    <w:multiLevelType w:val="hybridMultilevel"/>
    <w:tmpl w:val="2782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104E5"/>
    <w:multiLevelType w:val="hybridMultilevel"/>
    <w:tmpl w:val="C5A0340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710185"/>
    <w:multiLevelType w:val="hybridMultilevel"/>
    <w:tmpl w:val="1310A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A85BB6"/>
    <w:multiLevelType w:val="hybridMultilevel"/>
    <w:tmpl w:val="2B6E69C8"/>
    <w:lvl w:ilvl="0" w:tplc="C90C8D5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D329B3"/>
    <w:multiLevelType w:val="multilevel"/>
    <w:tmpl w:val="D66EDF14"/>
    <w:lvl w:ilvl="0">
      <w:start w:val="1"/>
      <w:numFmt w:val="bullet"/>
      <w:lvlText w:val=""/>
      <w:lvlJc w:val="left"/>
      <w:pPr>
        <w:tabs>
          <w:tab w:val="num" w:pos="720"/>
        </w:tabs>
        <w:ind w:left="720" w:hanging="360"/>
      </w:pPr>
      <w:rPr>
        <w:rFonts w:ascii="Symbol" w:hAnsi="Symbol" w:hint="default"/>
        <w:color w:val="AE257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752FD"/>
    <w:multiLevelType w:val="hybridMultilevel"/>
    <w:tmpl w:val="E45E6E84"/>
    <w:lvl w:ilvl="0" w:tplc="C90C8D5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82496D"/>
    <w:multiLevelType w:val="multilevel"/>
    <w:tmpl w:val="2EF6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5683C"/>
    <w:multiLevelType w:val="hybridMultilevel"/>
    <w:tmpl w:val="8C46C56E"/>
    <w:lvl w:ilvl="0" w:tplc="C90C8D5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2F5662"/>
    <w:multiLevelType w:val="hybridMultilevel"/>
    <w:tmpl w:val="8B3AD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CF254A"/>
    <w:multiLevelType w:val="hybridMultilevel"/>
    <w:tmpl w:val="304E8082"/>
    <w:lvl w:ilvl="0" w:tplc="0809000F">
      <w:start w:val="1"/>
      <w:numFmt w:val="decimal"/>
      <w:lvlText w:val="%1."/>
      <w:lvlJc w:val="left"/>
      <w:pPr>
        <w:ind w:left="720" w:hanging="360"/>
      </w:pPr>
      <w:rPr>
        <w:rFonts w:hint="default"/>
      </w:rPr>
    </w:lvl>
    <w:lvl w:ilvl="1" w:tplc="7D72FAC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B0816"/>
    <w:multiLevelType w:val="hybridMultilevel"/>
    <w:tmpl w:val="CA58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E3AB0"/>
    <w:multiLevelType w:val="hybridMultilevel"/>
    <w:tmpl w:val="6BD066A8"/>
    <w:lvl w:ilvl="0" w:tplc="7F0454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7964BC"/>
    <w:multiLevelType w:val="hybridMultilevel"/>
    <w:tmpl w:val="A0F0A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953EC"/>
    <w:multiLevelType w:val="hybridMultilevel"/>
    <w:tmpl w:val="7EBA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C5E0B"/>
    <w:multiLevelType w:val="hybridMultilevel"/>
    <w:tmpl w:val="516C041E"/>
    <w:lvl w:ilvl="0" w:tplc="C90C8D5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4B5B25"/>
    <w:multiLevelType w:val="hybridMultilevel"/>
    <w:tmpl w:val="E0A4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E7E17"/>
    <w:multiLevelType w:val="multilevel"/>
    <w:tmpl w:val="25B2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5188C"/>
    <w:multiLevelType w:val="hybridMultilevel"/>
    <w:tmpl w:val="BA807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C4312B"/>
    <w:multiLevelType w:val="hybridMultilevel"/>
    <w:tmpl w:val="571C4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D14A13"/>
    <w:multiLevelType w:val="multilevel"/>
    <w:tmpl w:val="D66EDF14"/>
    <w:lvl w:ilvl="0">
      <w:start w:val="1"/>
      <w:numFmt w:val="bullet"/>
      <w:lvlText w:val=""/>
      <w:lvlJc w:val="left"/>
      <w:pPr>
        <w:tabs>
          <w:tab w:val="num" w:pos="720"/>
        </w:tabs>
        <w:ind w:left="720" w:hanging="360"/>
      </w:pPr>
      <w:rPr>
        <w:rFonts w:ascii="Symbol" w:hAnsi="Symbol" w:hint="default"/>
        <w:color w:val="AE257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72A31"/>
    <w:multiLevelType w:val="hybridMultilevel"/>
    <w:tmpl w:val="8FA4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9700A"/>
    <w:multiLevelType w:val="hybridMultilevel"/>
    <w:tmpl w:val="DC6E1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75373A"/>
    <w:multiLevelType w:val="hybridMultilevel"/>
    <w:tmpl w:val="4F20E0AC"/>
    <w:lvl w:ilvl="0" w:tplc="C90C8D5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BD1D03"/>
    <w:multiLevelType w:val="hybridMultilevel"/>
    <w:tmpl w:val="56FA3526"/>
    <w:lvl w:ilvl="0" w:tplc="C90C8D5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7"/>
  </w:num>
  <w:num w:numId="4">
    <w:abstractNumId w:val="22"/>
  </w:num>
  <w:num w:numId="5">
    <w:abstractNumId w:val="12"/>
  </w:num>
  <w:num w:numId="6">
    <w:abstractNumId w:val="11"/>
  </w:num>
  <w:num w:numId="7">
    <w:abstractNumId w:val="20"/>
  </w:num>
  <w:num w:numId="8">
    <w:abstractNumId w:val="4"/>
  </w:num>
  <w:num w:numId="9">
    <w:abstractNumId w:val="1"/>
  </w:num>
  <w:num w:numId="10">
    <w:abstractNumId w:val="21"/>
  </w:num>
  <w:num w:numId="11">
    <w:abstractNumId w:val="5"/>
  </w:num>
  <w:num w:numId="12">
    <w:abstractNumId w:val="2"/>
  </w:num>
  <w:num w:numId="13">
    <w:abstractNumId w:val="18"/>
  </w:num>
  <w:num w:numId="14">
    <w:abstractNumId w:val="13"/>
  </w:num>
  <w:num w:numId="15">
    <w:abstractNumId w:val="23"/>
  </w:num>
  <w:num w:numId="16">
    <w:abstractNumId w:val="16"/>
  </w:num>
  <w:num w:numId="17">
    <w:abstractNumId w:val="24"/>
  </w:num>
  <w:num w:numId="18">
    <w:abstractNumId w:val="5"/>
  </w:num>
  <w:num w:numId="19">
    <w:abstractNumId w:val="10"/>
  </w:num>
  <w:num w:numId="20">
    <w:abstractNumId w:val="0"/>
  </w:num>
  <w:num w:numId="21">
    <w:abstractNumId w:val="26"/>
  </w:num>
  <w:num w:numId="22">
    <w:abstractNumId w:val="17"/>
  </w:num>
  <w:num w:numId="23">
    <w:abstractNumId w:val="15"/>
  </w:num>
  <w:num w:numId="24">
    <w:abstractNumId w:val="8"/>
  </w:num>
  <w:num w:numId="25">
    <w:abstractNumId w:val="25"/>
  </w:num>
  <w:num w:numId="26">
    <w:abstractNumId w:val="6"/>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55"/>
    <w:rsid w:val="00005206"/>
    <w:rsid w:val="00010244"/>
    <w:rsid w:val="000E4DC1"/>
    <w:rsid w:val="00187B55"/>
    <w:rsid w:val="001D3569"/>
    <w:rsid w:val="002658C5"/>
    <w:rsid w:val="002E1AD5"/>
    <w:rsid w:val="002F2B9D"/>
    <w:rsid w:val="00393B29"/>
    <w:rsid w:val="003B69D0"/>
    <w:rsid w:val="004B30A5"/>
    <w:rsid w:val="004D6F68"/>
    <w:rsid w:val="004F5B0F"/>
    <w:rsid w:val="00526315"/>
    <w:rsid w:val="00526E9A"/>
    <w:rsid w:val="0059193F"/>
    <w:rsid w:val="005C0525"/>
    <w:rsid w:val="00627AA0"/>
    <w:rsid w:val="006552B8"/>
    <w:rsid w:val="00711A08"/>
    <w:rsid w:val="00756CB8"/>
    <w:rsid w:val="0076643F"/>
    <w:rsid w:val="007703F9"/>
    <w:rsid w:val="007C398A"/>
    <w:rsid w:val="007C4899"/>
    <w:rsid w:val="007F669D"/>
    <w:rsid w:val="008007F1"/>
    <w:rsid w:val="00825376"/>
    <w:rsid w:val="0083556D"/>
    <w:rsid w:val="00837527"/>
    <w:rsid w:val="00854833"/>
    <w:rsid w:val="008B78D5"/>
    <w:rsid w:val="009249A8"/>
    <w:rsid w:val="009B52A9"/>
    <w:rsid w:val="00AB0149"/>
    <w:rsid w:val="00AD74B4"/>
    <w:rsid w:val="00B40161"/>
    <w:rsid w:val="00B41FDD"/>
    <w:rsid w:val="00B802B5"/>
    <w:rsid w:val="00BA16EF"/>
    <w:rsid w:val="00BA66C4"/>
    <w:rsid w:val="00BC2A4E"/>
    <w:rsid w:val="00C02E4B"/>
    <w:rsid w:val="00C450AE"/>
    <w:rsid w:val="00C5422A"/>
    <w:rsid w:val="00C90AFE"/>
    <w:rsid w:val="00D435F4"/>
    <w:rsid w:val="00D82E85"/>
    <w:rsid w:val="00DC2A1C"/>
    <w:rsid w:val="00DE0B13"/>
    <w:rsid w:val="00E2103A"/>
    <w:rsid w:val="00E36506"/>
    <w:rsid w:val="00F70CAC"/>
    <w:rsid w:val="00FB15EE"/>
    <w:rsid w:val="00FE4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8CD68"/>
  <w15:chartTrackingRefBased/>
  <w15:docId w15:val="{7DD086A2-E36B-46B1-A27D-635B0801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55"/>
  </w:style>
  <w:style w:type="paragraph" w:styleId="Footer">
    <w:name w:val="footer"/>
    <w:basedOn w:val="Normal"/>
    <w:link w:val="FooterChar"/>
    <w:uiPriority w:val="99"/>
    <w:unhideWhenUsed/>
    <w:rsid w:val="0018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55"/>
  </w:style>
  <w:style w:type="paragraph" w:styleId="BalloonText">
    <w:name w:val="Balloon Text"/>
    <w:basedOn w:val="Normal"/>
    <w:link w:val="BalloonTextChar"/>
    <w:uiPriority w:val="99"/>
    <w:semiHidden/>
    <w:unhideWhenUsed/>
    <w:rsid w:val="00187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B55"/>
    <w:rPr>
      <w:rFonts w:ascii="Segoe UI" w:hAnsi="Segoe UI" w:cs="Segoe UI"/>
      <w:sz w:val="18"/>
      <w:szCs w:val="18"/>
    </w:rPr>
  </w:style>
  <w:style w:type="paragraph" w:customStyle="1" w:styleId="paragraph">
    <w:name w:val="paragraph"/>
    <w:basedOn w:val="Normal"/>
    <w:rsid w:val="00187B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7B55"/>
  </w:style>
  <w:style w:type="character" w:customStyle="1" w:styleId="eop">
    <w:name w:val="eop"/>
    <w:basedOn w:val="DefaultParagraphFont"/>
    <w:rsid w:val="00187B55"/>
  </w:style>
  <w:style w:type="character" w:customStyle="1" w:styleId="spellingerror">
    <w:name w:val="spellingerror"/>
    <w:basedOn w:val="DefaultParagraphFont"/>
    <w:rsid w:val="00187B55"/>
  </w:style>
  <w:style w:type="table" w:styleId="TableGrid">
    <w:name w:val="Table Grid"/>
    <w:basedOn w:val="TableNormal"/>
    <w:uiPriority w:val="59"/>
    <w:rsid w:val="0018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9D0"/>
    <w:rPr>
      <w:color w:val="0000FF" w:themeColor="hyperlink"/>
      <w:u w:val="single"/>
    </w:rPr>
  </w:style>
  <w:style w:type="character" w:styleId="UnresolvedMention">
    <w:name w:val="Unresolved Mention"/>
    <w:basedOn w:val="DefaultParagraphFont"/>
    <w:uiPriority w:val="99"/>
    <w:semiHidden/>
    <w:unhideWhenUsed/>
    <w:rsid w:val="003B69D0"/>
    <w:rPr>
      <w:color w:val="605E5C"/>
      <w:shd w:val="clear" w:color="auto" w:fill="E1DFDD"/>
    </w:rPr>
  </w:style>
  <w:style w:type="paragraph" w:styleId="NoSpacing">
    <w:name w:val="No Spacing"/>
    <w:uiPriority w:val="1"/>
    <w:qFormat/>
    <w:rsid w:val="004D6F68"/>
    <w:pPr>
      <w:spacing w:after="0" w:line="240" w:lineRule="auto"/>
    </w:pPr>
  </w:style>
  <w:style w:type="paragraph" w:customStyle="1" w:styleId="Default">
    <w:name w:val="Default"/>
    <w:rsid w:val="00711A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11A08"/>
    <w:pPr>
      <w:spacing w:after="160" w:line="259" w:lineRule="auto"/>
      <w:ind w:left="720"/>
      <w:contextualSpacing/>
    </w:pPr>
  </w:style>
  <w:style w:type="character" w:styleId="Emphasis">
    <w:name w:val="Emphasis"/>
    <w:basedOn w:val="DefaultParagraphFont"/>
    <w:uiPriority w:val="20"/>
    <w:qFormat/>
    <w:rsid w:val="00825376"/>
    <w:rPr>
      <w:b/>
      <w:bCs/>
      <w:i w:val="0"/>
      <w:iCs w:val="0"/>
    </w:rPr>
  </w:style>
  <w:style w:type="character" w:customStyle="1" w:styleId="st1">
    <w:name w:val="st1"/>
    <w:basedOn w:val="DefaultParagraphFont"/>
    <w:rsid w:val="0082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3557">
      <w:bodyDiv w:val="1"/>
      <w:marLeft w:val="0"/>
      <w:marRight w:val="0"/>
      <w:marTop w:val="0"/>
      <w:marBottom w:val="0"/>
      <w:divBdr>
        <w:top w:val="none" w:sz="0" w:space="0" w:color="auto"/>
        <w:left w:val="none" w:sz="0" w:space="0" w:color="auto"/>
        <w:bottom w:val="none" w:sz="0" w:space="0" w:color="auto"/>
        <w:right w:val="none" w:sz="0" w:space="0" w:color="auto"/>
      </w:divBdr>
    </w:div>
    <w:div w:id="58091113">
      <w:bodyDiv w:val="1"/>
      <w:marLeft w:val="0"/>
      <w:marRight w:val="0"/>
      <w:marTop w:val="0"/>
      <w:marBottom w:val="0"/>
      <w:divBdr>
        <w:top w:val="none" w:sz="0" w:space="0" w:color="auto"/>
        <w:left w:val="none" w:sz="0" w:space="0" w:color="auto"/>
        <w:bottom w:val="none" w:sz="0" w:space="0" w:color="auto"/>
        <w:right w:val="none" w:sz="0" w:space="0" w:color="auto"/>
      </w:divBdr>
    </w:div>
    <w:div w:id="389349903">
      <w:bodyDiv w:val="1"/>
      <w:marLeft w:val="0"/>
      <w:marRight w:val="0"/>
      <w:marTop w:val="0"/>
      <w:marBottom w:val="0"/>
      <w:divBdr>
        <w:top w:val="none" w:sz="0" w:space="0" w:color="auto"/>
        <w:left w:val="none" w:sz="0" w:space="0" w:color="auto"/>
        <w:bottom w:val="none" w:sz="0" w:space="0" w:color="auto"/>
        <w:right w:val="none" w:sz="0" w:space="0" w:color="auto"/>
      </w:divBdr>
    </w:div>
    <w:div w:id="1062681664">
      <w:bodyDiv w:val="1"/>
      <w:marLeft w:val="0"/>
      <w:marRight w:val="0"/>
      <w:marTop w:val="0"/>
      <w:marBottom w:val="0"/>
      <w:divBdr>
        <w:top w:val="none" w:sz="0" w:space="0" w:color="auto"/>
        <w:left w:val="none" w:sz="0" w:space="0" w:color="auto"/>
        <w:bottom w:val="none" w:sz="0" w:space="0" w:color="auto"/>
        <w:right w:val="none" w:sz="0" w:space="0" w:color="auto"/>
      </w:divBdr>
      <w:divsChild>
        <w:div w:id="915163283">
          <w:marLeft w:val="0"/>
          <w:marRight w:val="0"/>
          <w:marTop w:val="0"/>
          <w:marBottom w:val="0"/>
          <w:divBdr>
            <w:top w:val="none" w:sz="0" w:space="0" w:color="auto"/>
            <w:left w:val="none" w:sz="0" w:space="0" w:color="auto"/>
            <w:bottom w:val="none" w:sz="0" w:space="0" w:color="auto"/>
            <w:right w:val="none" w:sz="0" w:space="0" w:color="auto"/>
          </w:divBdr>
        </w:div>
        <w:div w:id="1578831510">
          <w:marLeft w:val="0"/>
          <w:marRight w:val="0"/>
          <w:marTop w:val="0"/>
          <w:marBottom w:val="0"/>
          <w:divBdr>
            <w:top w:val="none" w:sz="0" w:space="0" w:color="auto"/>
            <w:left w:val="none" w:sz="0" w:space="0" w:color="auto"/>
            <w:bottom w:val="none" w:sz="0" w:space="0" w:color="auto"/>
            <w:right w:val="none" w:sz="0" w:space="0" w:color="auto"/>
          </w:divBdr>
        </w:div>
        <w:div w:id="278994386">
          <w:marLeft w:val="0"/>
          <w:marRight w:val="0"/>
          <w:marTop w:val="0"/>
          <w:marBottom w:val="0"/>
          <w:divBdr>
            <w:top w:val="none" w:sz="0" w:space="0" w:color="auto"/>
            <w:left w:val="none" w:sz="0" w:space="0" w:color="auto"/>
            <w:bottom w:val="none" w:sz="0" w:space="0" w:color="auto"/>
            <w:right w:val="none" w:sz="0" w:space="0" w:color="auto"/>
          </w:divBdr>
        </w:div>
        <w:div w:id="329481357">
          <w:marLeft w:val="0"/>
          <w:marRight w:val="0"/>
          <w:marTop w:val="0"/>
          <w:marBottom w:val="0"/>
          <w:divBdr>
            <w:top w:val="none" w:sz="0" w:space="0" w:color="auto"/>
            <w:left w:val="none" w:sz="0" w:space="0" w:color="auto"/>
            <w:bottom w:val="none" w:sz="0" w:space="0" w:color="auto"/>
            <w:right w:val="none" w:sz="0" w:space="0" w:color="auto"/>
          </w:divBdr>
        </w:div>
        <w:div w:id="1314021493">
          <w:marLeft w:val="0"/>
          <w:marRight w:val="0"/>
          <w:marTop w:val="0"/>
          <w:marBottom w:val="0"/>
          <w:divBdr>
            <w:top w:val="none" w:sz="0" w:space="0" w:color="auto"/>
            <w:left w:val="none" w:sz="0" w:space="0" w:color="auto"/>
            <w:bottom w:val="none" w:sz="0" w:space="0" w:color="auto"/>
            <w:right w:val="none" w:sz="0" w:space="0" w:color="auto"/>
          </w:divBdr>
        </w:div>
        <w:div w:id="352195951">
          <w:marLeft w:val="0"/>
          <w:marRight w:val="0"/>
          <w:marTop w:val="0"/>
          <w:marBottom w:val="0"/>
          <w:divBdr>
            <w:top w:val="none" w:sz="0" w:space="0" w:color="auto"/>
            <w:left w:val="none" w:sz="0" w:space="0" w:color="auto"/>
            <w:bottom w:val="none" w:sz="0" w:space="0" w:color="auto"/>
            <w:right w:val="none" w:sz="0" w:space="0" w:color="auto"/>
          </w:divBdr>
        </w:div>
        <w:div w:id="1055743344">
          <w:marLeft w:val="0"/>
          <w:marRight w:val="0"/>
          <w:marTop w:val="0"/>
          <w:marBottom w:val="0"/>
          <w:divBdr>
            <w:top w:val="none" w:sz="0" w:space="0" w:color="auto"/>
            <w:left w:val="none" w:sz="0" w:space="0" w:color="auto"/>
            <w:bottom w:val="none" w:sz="0" w:space="0" w:color="auto"/>
            <w:right w:val="none" w:sz="0" w:space="0" w:color="auto"/>
          </w:divBdr>
        </w:div>
        <w:div w:id="714280788">
          <w:marLeft w:val="0"/>
          <w:marRight w:val="0"/>
          <w:marTop w:val="0"/>
          <w:marBottom w:val="0"/>
          <w:divBdr>
            <w:top w:val="none" w:sz="0" w:space="0" w:color="auto"/>
            <w:left w:val="none" w:sz="0" w:space="0" w:color="auto"/>
            <w:bottom w:val="none" w:sz="0" w:space="0" w:color="auto"/>
            <w:right w:val="none" w:sz="0" w:space="0" w:color="auto"/>
          </w:divBdr>
        </w:div>
        <w:div w:id="298343148">
          <w:marLeft w:val="0"/>
          <w:marRight w:val="0"/>
          <w:marTop w:val="0"/>
          <w:marBottom w:val="0"/>
          <w:divBdr>
            <w:top w:val="none" w:sz="0" w:space="0" w:color="auto"/>
            <w:left w:val="none" w:sz="0" w:space="0" w:color="auto"/>
            <w:bottom w:val="none" w:sz="0" w:space="0" w:color="auto"/>
            <w:right w:val="none" w:sz="0" w:space="0" w:color="auto"/>
          </w:divBdr>
        </w:div>
        <w:div w:id="794983033">
          <w:marLeft w:val="0"/>
          <w:marRight w:val="0"/>
          <w:marTop w:val="0"/>
          <w:marBottom w:val="0"/>
          <w:divBdr>
            <w:top w:val="none" w:sz="0" w:space="0" w:color="auto"/>
            <w:left w:val="none" w:sz="0" w:space="0" w:color="auto"/>
            <w:bottom w:val="none" w:sz="0" w:space="0" w:color="auto"/>
            <w:right w:val="none" w:sz="0" w:space="0" w:color="auto"/>
          </w:divBdr>
        </w:div>
        <w:div w:id="859704516">
          <w:marLeft w:val="0"/>
          <w:marRight w:val="0"/>
          <w:marTop w:val="0"/>
          <w:marBottom w:val="0"/>
          <w:divBdr>
            <w:top w:val="none" w:sz="0" w:space="0" w:color="auto"/>
            <w:left w:val="none" w:sz="0" w:space="0" w:color="auto"/>
            <w:bottom w:val="none" w:sz="0" w:space="0" w:color="auto"/>
            <w:right w:val="none" w:sz="0" w:space="0" w:color="auto"/>
          </w:divBdr>
        </w:div>
        <w:div w:id="1258519253">
          <w:marLeft w:val="0"/>
          <w:marRight w:val="0"/>
          <w:marTop w:val="0"/>
          <w:marBottom w:val="0"/>
          <w:divBdr>
            <w:top w:val="none" w:sz="0" w:space="0" w:color="auto"/>
            <w:left w:val="none" w:sz="0" w:space="0" w:color="auto"/>
            <w:bottom w:val="none" w:sz="0" w:space="0" w:color="auto"/>
            <w:right w:val="none" w:sz="0" w:space="0" w:color="auto"/>
          </w:divBdr>
        </w:div>
        <w:div w:id="1867521924">
          <w:marLeft w:val="0"/>
          <w:marRight w:val="0"/>
          <w:marTop w:val="0"/>
          <w:marBottom w:val="0"/>
          <w:divBdr>
            <w:top w:val="none" w:sz="0" w:space="0" w:color="auto"/>
            <w:left w:val="none" w:sz="0" w:space="0" w:color="auto"/>
            <w:bottom w:val="none" w:sz="0" w:space="0" w:color="auto"/>
            <w:right w:val="none" w:sz="0" w:space="0" w:color="auto"/>
          </w:divBdr>
        </w:div>
        <w:div w:id="476529323">
          <w:marLeft w:val="0"/>
          <w:marRight w:val="0"/>
          <w:marTop w:val="0"/>
          <w:marBottom w:val="0"/>
          <w:divBdr>
            <w:top w:val="none" w:sz="0" w:space="0" w:color="auto"/>
            <w:left w:val="none" w:sz="0" w:space="0" w:color="auto"/>
            <w:bottom w:val="none" w:sz="0" w:space="0" w:color="auto"/>
            <w:right w:val="none" w:sz="0" w:space="0" w:color="auto"/>
          </w:divBdr>
        </w:div>
        <w:div w:id="609240950">
          <w:marLeft w:val="0"/>
          <w:marRight w:val="0"/>
          <w:marTop w:val="0"/>
          <w:marBottom w:val="0"/>
          <w:divBdr>
            <w:top w:val="none" w:sz="0" w:space="0" w:color="auto"/>
            <w:left w:val="none" w:sz="0" w:space="0" w:color="auto"/>
            <w:bottom w:val="none" w:sz="0" w:space="0" w:color="auto"/>
            <w:right w:val="none" w:sz="0" w:space="0" w:color="auto"/>
          </w:divBdr>
        </w:div>
        <w:div w:id="690910068">
          <w:marLeft w:val="0"/>
          <w:marRight w:val="0"/>
          <w:marTop w:val="0"/>
          <w:marBottom w:val="0"/>
          <w:divBdr>
            <w:top w:val="none" w:sz="0" w:space="0" w:color="auto"/>
            <w:left w:val="none" w:sz="0" w:space="0" w:color="auto"/>
            <w:bottom w:val="none" w:sz="0" w:space="0" w:color="auto"/>
            <w:right w:val="none" w:sz="0" w:space="0" w:color="auto"/>
          </w:divBdr>
        </w:div>
        <w:div w:id="1603607031">
          <w:marLeft w:val="0"/>
          <w:marRight w:val="0"/>
          <w:marTop w:val="0"/>
          <w:marBottom w:val="0"/>
          <w:divBdr>
            <w:top w:val="none" w:sz="0" w:space="0" w:color="auto"/>
            <w:left w:val="none" w:sz="0" w:space="0" w:color="auto"/>
            <w:bottom w:val="none" w:sz="0" w:space="0" w:color="auto"/>
            <w:right w:val="none" w:sz="0" w:space="0" w:color="auto"/>
          </w:divBdr>
        </w:div>
        <w:div w:id="478771915">
          <w:marLeft w:val="0"/>
          <w:marRight w:val="0"/>
          <w:marTop w:val="0"/>
          <w:marBottom w:val="0"/>
          <w:divBdr>
            <w:top w:val="none" w:sz="0" w:space="0" w:color="auto"/>
            <w:left w:val="none" w:sz="0" w:space="0" w:color="auto"/>
            <w:bottom w:val="none" w:sz="0" w:space="0" w:color="auto"/>
            <w:right w:val="none" w:sz="0" w:space="0" w:color="auto"/>
          </w:divBdr>
        </w:div>
        <w:div w:id="1752039623">
          <w:marLeft w:val="0"/>
          <w:marRight w:val="0"/>
          <w:marTop w:val="0"/>
          <w:marBottom w:val="0"/>
          <w:divBdr>
            <w:top w:val="none" w:sz="0" w:space="0" w:color="auto"/>
            <w:left w:val="none" w:sz="0" w:space="0" w:color="auto"/>
            <w:bottom w:val="none" w:sz="0" w:space="0" w:color="auto"/>
            <w:right w:val="none" w:sz="0" w:space="0" w:color="auto"/>
          </w:divBdr>
        </w:div>
        <w:div w:id="1696734496">
          <w:marLeft w:val="0"/>
          <w:marRight w:val="0"/>
          <w:marTop w:val="0"/>
          <w:marBottom w:val="0"/>
          <w:divBdr>
            <w:top w:val="none" w:sz="0" w:space="0" w:color="auto"/>
            <w:left w:val="none" w:sz="0" w:space="0" w:color="auto"/>
            <w:bottom w:val="none" w:sz="0" w:space="0" w:color="auto"/>
            <w:right w:val="none" w:sz="0" w:space="0" w:color="auto"/>
          </w:divBdr>
        </w:div>
        <w:div w:id="1698509156">
          <w:marLeft w:val="0"/>
          <w:marRight w:val="0"/>
          <w:marTop w:val="0"/>
          <w:marBottom w:val="0"/>
          <w:divBdr>
            <w:top w:val="none" w:sz="0" w:space="0" w:color="auto"/>
            <w:left w:val="none" w:sz="0" w:space="0" w:color="auto"/>
            <w:bottom w:val="none" w:sz="0" w:space="0" w:color="auto"/>
            <w:right w:val="none" w:sz="0" w:space="0" w:color="auto"/>
          </w:divBdr>
        </w:div>
        <w:div w:id="1548831928">
          <w:marLeft w:val="0"/>
          <w:marRight w:val="0"/>
          <w:marTop w:val="0"/>
          <w:marBottom w:val="0"/>
          <w:divBdr>
            <w:top w:val="none" w:sz="0" w:space="0" w:color="auto"/>
            <w:left w:val="none" w:sz="0" w:space="0" w:color="auto"/>
            <w:bottom w:val="none" w:sz="0" w:space="0" w:color="auto"/>
            <w:right w:val="none" w:sz="0" w:space="0" w:color="auto"/>
          </w:divBdr>
        </w:div>
        <w:div w:id="1578591109">
          <w:marLeft w:val="0"/>
          <w:marRight w:val="0"/>
          <w:marTop w:val="0"/>
          <w:marBottom w:val="0"/>
          <w:divBdr>
            <w:top w:val="none" w:sz="0" w:space="0" w:color="auto"/>
            <w:left w:val="none" w:sz="0" w:space="0" w:color="auto"/>
            <w:bottom w:val="none" w:sz="0" w:space="0" w:color="auto"/>
            <w:right w:val="none" w:sz="0" w:space="0" w:color="auto"/>
          </w:divBdr>
        </w:div>
        <w:div w:id="2026439121">
          <w:marLeft w:val="0"/>
          <w:marRight w:val="0"/>
          <w:marTop w:val="0"/>
          <w:marBottom w:val="0"/>
          <w:divBdr>
            <w:top w:val="none" w:sz="0" w:space="0" w:color="auto"/>
            <w:left w:val="none" w:sz="0" w:space="0" w:color="auto"/>
            <w:bottom w:val="none" w:sz="0" w:space="0" w:color="auto"/>
            <w:right w:val="none" w:sz="0" w:space="0" w:color="auto"/>
          </w:divBdr>
        </w:div>
        <w:div w:id="675881839">
          <w:marLeft w:val="0"/>
          <w:marRight w:val="0"/>
          <w:marTop w:val="0"/>
          <w:marBottom w:val="0"/>
          <w:divBdr>
            <w:top w:val="none" w:sz="0" w:space="0" w:color="auto"/>
            <w:left w:val="none" w:sz="0" w:space="0" w:color="auto"/>
            <w:bottom w:val="none" w:sz="0" w:space="0" w:color="auto"/>
            <w:right w:val="none" w:sz="0" w:space="0" w:color="auto"/>
          </w:divBdr>
        </w:div>
        <w:div w:id="1700626030">
          <w:marLeft w:val="0"/>
          <w:marRight w:val="0"/>
          <w:marTop w:val="0"/>
          <w:marBottom w:val="0"/>
          <w:divBdr>
            <w:top w:val="none" w:sz="0" w:space="0" w:color="auto"/>
            <w:left w:val="none" w:sz="0" w:space="0" w:color="auto"/>
            <w:bottom w:val="none" w:sz="0" w:space="0" w:color="auto"/>
            <w:right w:val="none" w:sz="0" w:space="0" w:color="auto"/>
          </w:divBdr>
        </w:div>
        <w:div w:id="1555120508">
          <w:marLeft w:val="0"/>
          <w:marRight w:val="0"/>
          <w:marTop w:val="0"/>
          <w:marBottom w:val="0"/>
          <w:divBdr>
            <w:top w:val="none" w:sz="0" w:space="0" w:color="auto"/>
            <w:left w:val="none" w:sz="0" w:space="0" w:color="auto"/>
            <w:bottom w:val="none" w:sz="0" w:space="0" w:color="auto"/>
            <w:right w:val="none" w:sz="0" w:space="0" w:color="auto"/>
          </w:divBdr>
        </w:div>
        <w:div w:id="1244946259">
          <w:marLeft w:val="0"/>
          <w:marRight w:val="0"/>
          <w:marTop w:val="0"/>
          <w:marBottom w:val="0"/>
          <w:divBdr>
            <w:top w:val="none" w:sz="0" w:space="0" w:color="auto"/>
            <w:left w:val="none" w:sz="0" w:space="0" w:color="auto"/>
            <w:bottom w:val="none" w:sz="0" w:space="0" w:color="auto"/>
            <w:right w:val="none" w:sz="0" w:space="0" w:color="auto"/>
          </w:divBdr>
        </w:div>
        <w:div w:id="333799092">
          <w:marLeft w:val="0"/>
          <w:marRight w:val="0"/>
          <w:marTop w:val="0"/>
          <w:marBottom w:val="0"/>
          <w:divBdr>
            <w:top w:val="none" w:sz="0" w:space="0" w:color="auto"/>
            <w:left w:val="none" w:sz="0" w:space="0" w:color="auto"/>
            <w:bottom w:val="none" w:sz="0" w:space="0" w:color="auto"/>
            <w:right w:val="none" w:sz="0" w:space="0" w:color="auto"/>
          </w:divBdr>
        </w:div>
        <w:div w:id="1429035676">
          <w:marLeft w:val="0"/>
          <w:marRight w:val="0"/>
          <w:marTop w:val="0"/>
          <w:marBottom w:val="0"/>
          <w:divBdr>
            <w:top w:val="none" w:sz="0" w:space="0" w:color="auto"/>
            <w:left w:val="none" w:sz="0" w:space="0" w:color="auto"/>
            <w:bottom w:val="none" w:sz="0" w:space="0" w:color="auto"/>
            <w:right w:val="none" w:sz="0" w:space="0" w:color="auto"/>
          </w:divBdr>
        </w:div>
        <w:div w:id="1857883269">
          <w:marLeft w:val="0"/>
          <w:marRight w:val="0"/>
          <w:marTop w:val="0"/>
          <w:marBottom w:val="0"/>
          <w:divBdr>
            <w:top w:val="none" w:sz="0" w:space="0" w:color="auto"/>
            <w:left w:val="none" w:sz="0" w:space="0" w:color="auto"/>
            <w:bottom w:val="none" w:sz="0" w:space="0" w:color="auto"/>
            <w:right w:val="none" w:sz="0" w:space="0" w:color="auto"/>
          </w:divBdr>
          <w:divsChild>
            <w:div w:id="1138187371">
              <w:marLeft w:val="0"/>
              <w:marRight w:val="0"/>
              <w:marTop w:val="0"/>
              <w:marBottom w:val="0"/>
              <w:divBdr>
                <w:top w:val="none" w:sz="0" w:space="0" w:color="auto"/>
                <w:left w:val="none" w:sz="0" w:space="0" w:color="auto"/>
                <w:bottom w:val="none" w:sz="0" w:space="0" w:color="auto"/>
                <w:right w:val="none" w:sz="0" w:space="0" w:color="auto"/>
              </w:divBdr>
            </w:div>
            <w:div w:id="860633879">
              <w:marLeft w:val="0"/>
              <w:marRight w:val="0"/>
              <w:marTop w:val="0"/>
              <w:marBottom w:val="0"/>
              <w:divBdr>
                <w:top w:val="none" w:sz="0" w:space="0" w:color="auto"/>
                <w:left w:val="none" w:sz="0" w:space="0" w:color="auto"/>
                <w:bottom w:val="none" w:sz="0" w:space="0" w:color="auto"/>
                <w:right w:val="none" w:sz="0" w:space="0" w:color="auto"/>
              </w:divBdr>
            </w:div>
          </w:divsChild>
        </w:div>
        <w:div w:id="1476027122">
          <w:marLeft w:val="0"/>
          <w:marRight w:val="0"/>
          <w:marTop w:val="0"/>
          <w:marBottom w:val="0"/>
          <w:divBdr>
            <w:top w:val="none" w:sz="0" w:space="0" w:color="auto"/>
            <w:left w:val="none" w:sz="0" w:space="0" w:color="auto"/>
            <w:bottom w:val="none" w:sz="0" w:space="0" w:color="auto"/>
            <w:right w:val="none" w:sz="0" w:space="0" w:color="auto"/>
          </w:divBdr>
          <w:divsChild>
            <w:div w:id="1481463223">
              <w:marLeft w:val="0"/>
              <w:marRight w:val="0"/>
              <w:marTop w:val="0"/>
              <w:marBottom w:val="0"/>
              <w:divBdr>
                <w:top w:val="none" w:sz="0" w:space="0" w:color="auto"/>
                <w:left w:val="none" w:sz="0" w:space="0" w:color="auto"/>
                <w:bottom w:val="none" w:sz="0" w:space="0" w:color="auto"/>
                <w:right w:val="none" w:sz="0" w:space="0" w:color="auto"/>
              </w:divBdr>
            </w:div>
            <w:div w:id="1603493833">
              <w:marLeft w:val="0"/>
              <w:marRight w:val="0"/>
              <w:marTop w:val="0"/>
              <w:marBottom w:val="0"/>
              <w:divBdr>
                <w:top w:val="none" w:sz="0" w:space="0" w:color="auto"/>
                <w:left w:val="none" w:sz="0" w:space="0" w:color="auto"/>
                <w:bottom w:val="none" w:sz="0" w:space="0" w:color="auto"/>
                <w:right w:val="none" w:sz="0" w:space="0" w:color="auto"/>
              </w:divBdr>
            </w:div>
            <w:div w:id="1472282344">
              <w:marLeft w:val="0"/>
              <w:marRight w:val="0"/>
              <w:marTop w:val="0"/>
              <w:marBottom w:val="0"/>
              <w:divBdr>
                <w:top w:val="none" w:sz="0" w:space="0" w:color="auto"/>
                <w:left w:val="none" w:sz="0" w:space="0" w:color="auto"/>
                <w:bottom w:val="none" w:sz="0" w:space="0" w:color="auto"/>
                <w:right w:val="none" w:sz="0" w:space="0" w:color="auto"/>
              </w:divBdr>
            </w:div>
            <w:div w:id="149951141">
              <w:marLeft w:val="0"/>
              <w:marRight w:val="0"/>
              <w:marTop w:val="0"/>
              <w:marBottom w:val="0"/>
              <w:divBdr>
                <w:top w:val="none" w:sz="0" w:space="0" w:color="auto"/>
                <w:left w:val="none" w:sz="0" w:space="0" w:color="auto"/>
                <w:bottom w:val="none" w:sz="0" w:space="0" w:color="auto"/>
                <w:right w:val="none" w:sz="0" w:space="0" w:color="auto"/>
              </w:divBdr>
            </w:div>
          </w:divsChild>
        </w:div>
        <w:div w:id="5909989">
          <w:marLeft w:val="0"/>
          <w:marRight w:val="0"/>
          <w:marTop w:val="0"/>
          <w:marBottom w:val="0"/>
          <w:divBdr>
            <w:top w:val="none" w:sz="0" w:space="0" w:color="auto"/>
            <w:left w:val="none" w:sz="0" w:space="0" w:color="auto"/>
            <w:bottom w:val="none" w:sz="0" w:space="0" w:color="auto"/>
            <w:right w:val="none" w:sz="0" w:space="0" w:color="auto"/>
          </w:divBdr>
        </w:div>
        <w:div w:id="926305868">
          <w:marLeft w:val="0"/>
          <w:marRight w:val="0"/>
          <w:marTop w:val="0"/>
          <w:marBottom w:val="0"/>
          <w:divBdr>
            <w:top w:val="none" w:sz="0" w:space="0" w:color="auto"/>
            <w:left w:val="none" w:sz="0" w:space="0" w:color="auto"/>
            <w:bottom w:val="none" w:sz="0" w:space="0" w:color="auto"/>
            <w:right w:val="none" w:sz="0" w:space="0" w:color="auto"/>
          </w:divBdr>
        </w:div>
        <w:div w:id="1807234707">
          <w:marLeft w:val="0"/>
          <w:marRight w:val="0"/>
          <w:marTop w:val="0"/>
          <w:marBottom w:val="0"/>
          <w:divBdr>
            <w:top w:val="none" w:sz="0" w:space="0" w:color="auto"/>
            <w:left w:val="none" w:sz="0" w:space="0" w:color="auto"/>
            <w:bottom w:val="none" w:sz="0" w:space="0" w:color="auto"/>
            <w:right w:val="none" w:sz="0" w:space="0" w:color="auto"/>
          </w:divBdr>
        </w:div>
        <w:div w:id="799685358">
          <w:marLeft w:val="0"/>
          <w:marRight w:val="0"/>
          <w:marTop w:val="0"/>
          <w:marBottom w:val="0"/>
          <w:divBdr>
            <w:top w:val="none" w:sz="0" w:space="0" w:color="auto"/>
            <w:left w:val="none" w:sz="0" w:space="0" w:color="auto"/>
            <w:bottom w:val="none" w:sz="0" w:space="0" w:color="auto"/>
            <w:right w:val="none" w:sz="0" w:space="0" w:color="auto"/>
          </w:divBdr>
        </w:div>
        <w:div w:id="1519929378">
          <w:marLeft w:val="0"/>
          <w:marRight w:val="0"/>
          <w:marTop w:val="0"/>
          <w:marBottom w:val="0"/>
          <w:divBdr>
            <w:top w:val="none" w:sz="0" w:space="0" w:color="auto"/>
            <w:left w:val="none" w:sz="0" w:space="0" w:color="auto"/>
            <w:bottom w:val="none" w:sz="0" w:space="0" w:color="auto"/>
            <w:right w:val="none" w:sz="0" w:space="0" w:color="auto"/>
          </w:divBdr>
        </w:div>
        <w:div w:id="1674456348">
          <w:marLeft w:val="0"/>
          <w:marRight w:val="0"/>
          <w:marTop w:val="0"/>
          <w:marBottom w:val="0"/>
          <w:divBdr>
            <w:top w:val="none" w:sz="0" w:space="0" w:color="auto"/>
            <w:left w:val="none" w:sz="0" w:space="0" w:color="auto"/>
            <w:bottom w:val="none" w:sz="0" w:space="0" w:color="auto"/>
            <w:right w:val="none" w:sz="0" w:space="0" w:color="auto"/>
          </w:divBdr>
        </w:div>
        <w:div w:id="504513605">
          <w:marLeft w:val="0"/>
          <w:marRight w:val="0"/>
          <w:marTop w:val="0"/>
          <w:marBottom w:val="0"/>
          <w:divBdr>
            <w:top w:val="none" w:sz="0" w:space="0" w:color="auto"/>
            <w:left w:val="none" w:sz="0" w:space="0" w:color="auto"/>
            <w:bottom w:val="none" w:sz="0" w:space="0" w:color="auto"/>
            <w:right w:val="none" w:sz="0" w:space="0" w:color="auto"/>
          </w:divBdr>
        </w:div>
        <w:div w:id="809788239">
          <w:marLeft w:val="0"/>
          <w:marRight w:val="0"/>
          <w:marTop w:val="0"/>
          <w:marBottom w:val="0"/>
          <w:divBdr>
            <w:top w:val="none" w:sz="0" w:space="0" w:color="auto"/>
            <w:left w:val="none" w:sz="0" w:space="0" w:color="auto"/>
            <w:bottom w:val="none" w:sz="0" w:space="0" w:color="auto"/>
            <w:right w:val="none" w:sz="0" w:space="0" w:color="auto"/>
          </w:divBdr>
        </w:div>
        <w:div w:id="58750921">
          <w:marLeft w:val="0"/>
          <w:marRight w:val="0"/>
          <w:marTop w:val="0"/>
          <w:marBottom w:val="0"/>
          <w:divBdr>
            <w:top w:val="none" w:sz="0" w:space="0" w:color="auto"/>
            <w:left w:val="none" w:sz="0" w:space="0" w:color="auto"/>
            <w:bottom w:val="none" w:sz="0" w:space="0" w:color="auto"/>
            <w:right w:val="none" w:sz="0" w:space="0" w:color="auto"/>
          </w:divBdr>
        </w:div>
        <w:div w:id="268124314">
          <w:marLeft w:val="0"/>
          <w:marRight w:val="0"/>
          <w:marTop w:val="0"/>
          <w:marBottom w:val="0"/>
          <w:divBdr>
            <w:top w:val="none" w:sz="0" w:space="0" w:color="auto"/>
            <w:left w:val="none" w:sz="0" w:space="0" w:color="auto"/>
            <w:bottom w:val="none" w:sz="0" w:space="0" w:color="auto"/>
            <w:right w:val="none" w:sz="0" w:space="0" w:color="auto"/>
          </w:divBdr>
        </w:div>
        <w:div w:id="1714226861">
          <w:marLeft w:val="0"/>
          <w:marRight w:val="0"/>
          <w:marTop w:val="0"/>
          <w:marBottom w:val="0"/>
          <w:divBdr>
            <w:top w:val="none" w:sz="0" w:space="0" w:color="auto"/>
            <w:left w:val="none" w:sz="0" w:space="0" w:color="auto"/>
            <w:bottom w:val="none" w:sz="0" w:space="0" w:color="auto"/>
            <w:right w:val="none" w:sz="0" w:space="0" w:color="auto"/>
          </w:divBdr>
        </w:div>
        <w:div w:id="343171267">
          <w:marLeft w:val="0"/>
          <w:marRight w:val="0"/>
          <w:marTop w:val="0"/>
          <w:marBottom w:val="0"/>
          <w:divBdr>
            <w:top w:val="none" w:sz="0" w:space="0" w:color="auto"/>
            <w:left w:val="none" w:sz="0" w:space="0" w:color="auto"/>
            <w:bottom w:val="none" w:sz="0" w:space="0" w:color="auto"/>
            <w:right w:val="none" w:sz="0" w:space="0" w:color="auto"/>
          </w:divBdr>
        </w:div>
        <w:div w:id="1217661749">
          <w:marLeft w:val="0"/>
          <w:marRight w:val="0"/>
          <w:marTop w:val="0"/>
          <w:marBottom w:val="0"/>
          <w:divBdr>
            <w:top w:val="none" w:sz="0" w:space="0" w:color="auto"/>
            <w:left w:val="none" w:sz="0" w:space="0" w:color="auto"/>
            <w:bottom w:val="none" w:sz="0" w:space="0" w:color="auto"/>
            <w:right w:val="none" w:sz="0" w:space="0" w:color="auto"/>
          </w:divBdr>
        </w:div>
        <w:div w:id="2130737950">
          <w:marLeft w:val="0"/>
          <w:marRight w:val="0"/>
          <w:marTop w:val="0"/>
          <w:marBottom w:val="0"/>
          <w:divBdr>
            <w:top w:val="none" w:sz="0" w:space="0" w:color="auto"/>
            <w:left w:val="none" w:sz="0" w:space="0" w:color="auto"/>
            <w:bottom w:val="none" w:sz="0" w:space="0" w:color="auto"/>
            <w:right w:val="none" w:sz="0" w:space="0" w:color="auto"/>
          </w:divBdr>
        </w:div>
        <w:div w:id="1626498865">
          <w:marLeft w:val="0"/>
          <w:marRight w:val="0"/>
          <w:marTop w:val="0"/>
          <w:marBottom w:val="0"/>
          <w:divBdr>
            <w:top w:val="none" w:sz="0" w:space="0" w:color="auto"/>
            <w:left w:val="none" w:sz="0" w:space="0" w:color="auto"/>
            <w:bottom w:val="none" w:sz="0" w:space="0" w:color="auto"/>
            <w:right w:val="none" w:sz="0" w:space="0" w:color="auto"/>
          </w:divBdr>
        </w:div>
        <w:div w:id="1905334638">
          <w:marLeft w:val="0"/>
          <w:marRight w:val="0"/>
          <w:marTop w:val="0"/>
          <w:marBottom w:val="0"/>
          <w:divBdr>
            <w:top w:val="none" w:sz="0" w:space="0" w:color="auto"/>
            <w:left w:val="none" w:sz="0" w:space="0" w:color="auto"/>
            <w:bottom w:val="none" w:sz="0" w:space="0" w:color="auto"/>
            <w:right w:val="none" w:sz="0" w:space="0" w:color="auto"/>
          </w:divBdr>
        </w:div>
        <w:div w:id="531385845">
          <w:marLeft w:val="0"/>
          <w:marRight w:val="0"/>
          <w:marTop w:val="0"/>
          <w:marBottom w:val="0"/>
          <w:divBdr>
            <w:top w:val="none" w:sz="0" w:space="0" w:color="auto"/>
            <w:left w:val="none" w:sz="0" w:space="0" w:color="auto"/>
            <w:bottom w:val="none" w:sz="0" w:space="0" w:color="auto"/>
            <w:right w:val="none" w:sz="0" w:space="0" w:color="auto"/>
          </w:divBdr>
        </w:div>
        <w:div w:id="1528447438">
          <w:marLeft w:val="0"/>
          <w:marRight w:val="0"/>
          <w:marTop w:val="0"/>
          <w:marBottom w:val="0"/>
          <w:divBdr>
            <w:top w:val="none" w:sz="0" w:space="0" w:color="auto"/>
            <w:left w:val="none" w:sz="0" w:space="0" w:color="auto"/>
            <w:bottom w:val="none" w:sz="0" w:space="0" w:color="auto"/>
            <w:right w:val="none" w:sz="0" w:space="0" w:color="auto"/>
          </w:divBdr>
        </w:div>
        <w:div w:id="358698348">
          <w:marLeft w:val="0"/>
          <w:marRight w:val="0"/>
          <w:marTop w:val="0"/>
          <w:marBottom w:val="0"/>
          <w:divBdr>
            <w:top w:val="none" w:sz="0" w:space="0" w:color="auto"/>
            <w:left w:val="none" w:sz="0" w:space="0" w:color="auto"/>
            <w:bottom w:val="none" w:sz="0" w:space="0" w:color="auto"/>
            <w:right w:val="none" w:sz="0" w:space="0" w:color="auto"/>
          </w:divBdr>
        </w:div>
        <w:div w:id="1277563335">
          <w:marLeft w:val="0"/>
          <w:marRight w:val="0"/>
          <w:marTop w:val="0"/>
          <w:marBottom w:val="0"/>
          <w:divBdr>
            <w:top w:val="none" w:sz="0" w:space="0" w:color="auto"/>
            <w:left w:val="none" w:sz="0" w:space="0" w:color="auto"/>
            <w:bottom w:val="none" w:sz="0" w:space="0" w:color="auto"/>
            <w:right w:val="none" w:sz="0" w:space="0" w:color="auto"/>
          </w:divBdr>
        </w:div>
        <w:div w:id="434516087">
          <w:marLeft w:val="0"/>
          <w:marRight w:val="0"/>
          <w:marTop w:val="0"/>
          <w:marBottom w:val="0"/>
          <w:divBdr>
            <w:top w:val="none" w:sz="0" w:space="0" w:color="auto"/>
            <w:left w:val="none" w:sz="0" w:space="0" w:color="auto"/>
            <w:bottom w:val="none" w:sz="0" w:space="0" w:color="auto"/>
            <w:right w:val="none" w:sz="0" w:space="0" w:color="auto"/>
          </w:divBdr>
        </w:div>
        <w:div w:id="1761832479">
          <w:marLeft w:val="0"/>
          <w:marRight w:val="0"/>
          <w:marTop w:val="0"/>
          <w:marBottom w:val="0"/>
          <w:divBdr>
            <w:top w:val="none" w:sz="0" w:space="0" w:color="auto"/>
            <w:left w:val="none" w:sz="0" w:space="0" w:color="auto"/>
            <w:bottom w:val="none" w:sz="0" w:space="0" w:color="auto"/>
            <w:right w:val="none" w:sz="0" w:space="0" w:color="auto"/>
          </w:divBdr>
        </w:div>
        <w:div w:id="1142694001">
          <w:marLeft w:val="0"/>
          <w:marRight w:val="0"/>
          <w:marTop w:val="0"/>
          <w:marBottom w:val="0"/>
          <w:divBdr>
            <w:top w:val="none" w:sz="0" w:space="0" w:color="auto"/>
            <w:left w:val="none" w:sz="0" w:space="0" w:color="auto"/>
            <w:bottom w:val="none" w:sz="0" w:space="0" w:color="auto"/>
            <w:right w:val="none" w:sz="0" w:space="0" w:color="auto"/>
          </w:divBdr>
        </w:div>
        <w:div w:id="541022237">
          <w:marLeft w:val="0"/>
          <w:marRight w:val="0"/>
          <w:marTop w:val="0"/>
          <w:marBottom w:val="0"/>
          <w:divBdr>
            <w:top w:val="none" w:sz="0" w:space="0" w:color="auto"/>
            <w:left w:val="none" w:sz="0" w:space="0" w:color="auto"/>
            <w:bottom w:val="none" w:sz="0" w:space="0" w:color="auto"/>
            <w:right w:val="none" w:sz="0" w:space="0" w:color="auto"/>
          </w:divBdr>
        </w:div>
        <w:div w:id="1925021300">
          <w:marLeft w:val="0"/>
          <w:marRight w:val="0"/>
          <w:marTop w:val="0"/>
          <w:marBottom w:val="0"/>
          <w:divBdr>
            <w:top w:val="none" w:sz="0" w:space="0" w:color="auto"/>
            <w:left w:val="none" w:sz="0" w:space="0" w:color="auto"/>
            <w:bottom w:val="none" w:sz="0" w:space="0" w:color="auto"/>
            <w:right w:val="none" w:sz="0" w:space="0" w:color="auto"/>
          </w:divBdr>
        </w:div>
        <w:div w:id="1254313202">
          <w:marLeft w:val="0"/>
          <w:marRight w:val="0"/>
          <w:marTop w:val="0"/>
          <w:marBottom w:val="0"/>
          <w:divBdr>
            <w:top w:val="none" w:sz="0" w:space="0" w:color="auto"/>
            <w:left w:val="none" w:sz="0" w:space="0" w:color="auto"/>
            <w:bottom w:val="none" w:sz="0" w:space="0" w:color="auto"/>
            <w:right w:val="none" w:sz="0" w:space="0" w:color="auto"/>
          </w:divBdr>
        </w:div>
        <w:div w:id="1964462991">
          <w:marLeft w:val="0"/>
          <w:marRight w:val="0"/>
          <w:marTop w:val="0"/>
          <w:marBottom w:val="0"/>
          <w:divBdr>
            <w:top w:val="none" w:sz="0" w:space="0" w:color="auto"/>
            <w:left w:val="none" w:sz="0" w:space="0" w:color="auto"/>
            <w:bottom w:val="none" w:sz="0" w:space="0" w:color="auto"/>
            <w:right w:val="none" w:sz="0" w:space="0" w:color="auto"/>
          </w:divBdr>
        </w:div>
        <w:div w:id="659583356">
          <w:marLeft w:val="0"/>
          <w:marRight w:val="0"/>
          <w:marTop w:val="0"/>
          <w:marBottom w:val="0"/>
          <w:divBdr>
            <w:top w:val="none" w:sz="0" w:space="0" w:color="auto"/>
            <w:left w:val="none" w:sz="0" w:space="0" w:color="auto"/>
            <w:bottom w:val="none" w:sz="0" w:space="0" w:color="auto"/>
            <w:right w:val="none" w:sz="0" w:space="0" w:color="auto"/>
          </w:divBdr>
        </w:div>
        <w:div w:id="1115247123">
          <w:marLeft w:val="0"/>
          <w:marRight w:val="0"/>
          <w:marTop w:val="0"/>
          <w:marBottom w:val="0"/>
          <w:divBdr>
            <w:top w:val="none" w:sz="0" w:space="0" w:color="auto"/>
            <w:left w:val="none" w:sz="0" w:space="0" w:color="auto"/>
            <w:bottom w:val="none" w:sz="0" w:space="0" w:color="auto"/>
            <w:right w:val="none" w:sz="0" w:space="0" w:color="auto"/>
          </w:divBdr>
        </w:div>
        <w:div w:id="1152526174">
          <w:marLeft w:val="0"/>
          <w:marRight w:val="0"/>
          <w:marTop w:val="0"/>
          <w:marBottom w:val="0"/>
          <w:divBdr>
            <w:top w:val="none" w:sz="0" w:space="0" w:color="auto"/>
            <w:left w:val="none" w:sz="0" w:space="0" w:color="auto"/>
            <w:bottom w:val="none" w:sz="0" w:space="0" w:color="auto"/>
            <w:right w:val="none" w:sz="0" w:space="0" w:color="auto"/>
          </w:divBdr>
        </w:div>
        <w:div w:id="1196701743">
          <w:marLeft w:val="0"/>
          <w:marRight w:val="0"/>
          <w:marTop w:val="0"/>
          <w:marBottom w:val="0"/>
          <w:divBdr>
            <w:top w:val="none" w:sz="0" w:space="0" w:color="auto"/>
            <w:left w:val="none" w:sz="0" w:space="0" w:color="auto"/>
            <w:bottom w:val="none" w:sz="0" w:space="0" w:color="auto"/>
            <w:right w:val="none" w:sz="0" w:space="0" w:color="auto"/>
          </w:divBdr>
        </w:div>
        <w:div w:id="182550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coronavirus/wp-content/uploads/sites/52/2020/04/C0239-Specialty-guide-Essential-Cancer-surgery-and-coronavirus-v1-704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sg.org.uk/covid-19-advice/endoscopy-activity-and-covid-19-bsg-and-jag-guidance"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A5F3-1BC2-4907-AF39-ABCB76FF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Oliver (Corporate &amp; Organistational Development)</dc:creator>
  <cp:keywords/>
  <dc:description/>
  <cp:lastModifiedBy>Lisa Siembab</cp:lastModifiedBy>
  <cp:revision>2</cp:revision>
  <cp:lastPrinted>2019-12-04T11:36:00Z</cp:lastPrinted>
  <dcterms:created xsi:type="dcterms:W3CDTF">2020-04-15T13:27:00Z</dcterms:created>
  <dcterms:modified xsi:type="dcterms:W3CDTF">2020-04-15T13:27:00Z</dcterms:modified>
</cp:coreProperties>
</file>